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B0C9A" w14:textId="59E8E12F" w:rsidR="00170C8A" w:rsidRPr="00170C8A" w:rsidRDefault="00170C8A" w:rsidP="00170C8A">
      <w:pPr>
        <w:spacing w:line="276" w:lineRule="auto"/>
        <w:ind w:left="851" w:hanging="284"/>
        <w:jc w:val="center"/>
        <w:rPr>
          <w:b/>
          <w:bCs/>
          <w:color w:val="1F4E79" w:themeColor="accent1" w:themeShade="80"/>
          <w:sz w:val="52"/>
          <w:szCs w:val="52"/>
        </w:rPr>
      </w:pPr>
      <w:proofErr w:type="spellStart"/>
      <w:r w:rsidRPr="00170C8A">
        <w:rPr>
          <w:b/>
          <w:bCs/>
          <w:color w:val="1F4E79" w:themeColor="accent1" w:themeShade="80"/>
          <w:sz w:val="52"/>
          <w:szCs w:val="52"/>
        </w:rPr>
        <w:t>Infosheet</w:t>
      </w:r>
      <w:proofErr w:type="spellEnd"/>
      <w:r w:rsidRPr="00170C8A">
        <w:rPr>
          <w:b/>
          <w:bCs/>
          <w:color w:val="1F4E79" w:themeColor="accent1" w:themeShade="80"/>
          <w:sz w:val="52"/>
          <w:szCs w:val="52"/>
        </w:rPr>
        <w:t xml:space="preserve"> </w:t>
      </w:r>
      <w:proofErr w:type="spellStart"/>
      <w:r w:rsidRPr="00170C8A">
        <w:rPr>
          <w:b/>
          <w:bCs/>
          <w:color w:val="1F4E79" w:themeColor="accent1" w:themeShade="80"/>
          <w:sz w:val="52"/>
          <w:szCs w:val="52"/>
        </w:rPr>
        <w:t>Wasserwirtschaft</w:t>
      </w:r>
      <w:proofErr w:type="spellEnd"/>
      <w:r w:rsidRPr="00170C8A">
        <w:rPr>
          <w:b/>
          <w:bCs/>
          <w:color w:val="1F4E79" w:themeColor="accent1" w:themeShade="80"/>
          <w:sz w:val="52"/>
          <w:szCs w:val="52"/>
        </w:rPr>
        <w:t xml:space="preserve"> </w:t>
      </w:r>
      <w:proofErr w:type="spellStart"/>
      <w:r w:rsidRPr="00170C8A">
        <w:rPr>
          <w:b/>
          <w:bCs/>
          <w:color w:val="1F4E79" w:themeColor="accent1" w:themeShade="80"/>
          <w:sz w:val="52"/>
          <w:szCs w:val="52"/>
        </w:rPr>
        <w:t>Tunesien</w:t>
      </w:r>
      <w:proofErr w:type="spellEnd"/>
    </w:p>
    <w:p w14:paraId="3F9F294F" w14:textId="4D0664DE" w:rsidR="001746B9" w:rsidRPr="00170C8A" w:rsidRDefault="00276CDF" w:rsidP="00170C8A">
      <w:pPr>
        <w:pStyle w:val="Titre1"/>
        <w:spacing w:after="240" w:line="276" w:lineRule="auto"/>
        <w:ind w:left="851" w:hanging="284"/>
        <w:rPr>
          <w:rFonts w:asciiTheme="minorHAnsi" w:hAnsiTheme="minorHAnsi" w:cstheme="minorHAnsi"/>
          <w:lang w:val="de-DE"/>
        </w:rPr>
      </w:pPr>
      <w:r w:rsidRPr="008B007A">
        <w:rPr>
          <w:rFonts w:asciiTheme="minorHAnsi" w:hAnsiTheme="minorHAnsi" w:cstheme="minorHAnsi"/>
          <w:lang w:val="de-DE"/>
        </w:rPr>
        <w:t>ZIELMARKT: TUNESIEN</w:t>
      </w:r>
    </w:p>
    <w:tbl>
      <w:tblPr>
        <w:tblW w:w="9334" w:type="dxa"/>
        <w:jc w:val="center"/>
        <w:tblBorders>
          <w:top w:val="single" w:sz="8" w:space="0" w:color="004F80"/>
          <w:bottom w:val="single" w:sz="8" w:space="0" w:color="004F80"/>
          <w:insideH w:val="single" w:sz="4" w:space="0" w:color="95A4A8"/>
        </w:tblBorders>
        <w:tblLayout w:type="fixed"/>
        <w:tblLook w:val="00A0" w:firstRow="1" w:lastRow="0" w:firstColumn="1" w:lastColumn="0" w:noHBand="0" w:noVBand="0"/>
      </w:tblPr>
      <w:tblGrid>
        <w:gridCol w:w="2969"/>
        <w:gridCol w:w="3137"/>
        <w:gridCol w:w="3228"/>
      </w:tblGrid>
      <w:tr w:rsidR="001746B9" w:rsidRPr="00170C8A" w14:paraId="14FA3E45" w14:textId="77777777" w:rsidTr="00247F73">
        <w:trPr>
          <w:trHeight w:val="21"/>
          <w:jc w:val="center"/>
        </w:trPr>
        <w:tc>
          <w:tcPr>
            <w:tcW w:w="2969" w:type="dxa"/>
            <w:tcBorders>
              <w:top w:val="single" w:sz="8" w:space="0" w:color="3C494D"/>
              <w:bottom w:val="nil"/>
            </w:tcBorders>
            <w:shd w:val="clear" w:color="auto" w:fill="002060"/>
            <w:vAlign w:val="center"/>
          </w:tcPr>
          <w:p w14:paraId="67472CD4" w14:textId="77777777" w:rsidR="001746B9" w:rsidRPr="00170C8A" w:rsidRDefault="001746B9" w:rsidP="008D1967">
            <w:pPr>
              <w:pStyle w:val="Tabellehead"/>
              <w:spacing w:before="40" w:after="40" w:line="276" w:lineRule="auto"/>
              <w:rPr>
                <w:rFonts w:asciiTheme="minorHAnsi" w:hAnsiTheme="minorHAnsi" w:cstheme="minorHAnsi"/>
                <w:color w:val="FFFFFF" w:themeColor="background1"/>
                <w:sz w:val="20"/>
              </w:rPr>
            </w:pPr>
            <w:r w:rsidRPr="00170C8A">
              <w:rPr>
                <w:rFonts w:asciiTheme="minorHAnsi" w:hAnsiTheme="minorHAnsi" w:cstheme="minorHAnsi"/>
                <w:color w:val="FFFFFF" w:themeColor="background1"/>
                <w:sz w:val="20"/>
              </w:rPr>
              <w:t>TUNESIEN</w:t>
            </w:r>
          </w:p>
        </w:tc>
        <w:tc>
          <w:tcPr>
            <w:tcW w:w="6365" w:type="dxa"/>
            <w:gridSpan w:val="2"/>
            <w:tcBorders>
              <w:top w:val="single" w:sz="8" w:space="0" w:color="3C494D"/>
              <w:bottom w:val="nil"/>
            </w:tcBorders>
            <w:shd w:val="clear" w:color="auto" w:fill="002060"/>
            <w:vAlign w:val="center"/>
          </w:tcPr>
          <w:p w14:paraId="308FBAB3" w14:textId="77777777" w:rsidR="001746B9" w:rsidRPr="00170C8A" w:rsidRDefault="001746B9" w:rsidP="008D1967">
            <w:pPr>
              <w:pStyle w:val="Tabellehead"/>
              <w:spacing w:before="40" w:after="40" w:line="276" w:lineRule="auto"/>
              <w:rPr>
                <w:rFonts w:asciiTheme="minorHAnsi" w:hAnsiTheme="minorHAnsi" w:cstheme="minorHAnsi"/>
                <w:color w:val="FFFFFF" w:themeColor="background1"/>
                <w:sz w:val="20"/>
              </w:rPr>
            </w:pPr>
            <w:r w:rsidRPr="00170C8A">
              <w:rPr>
                <w:rFonts w:asciiTheme="minorHAnsi" w:hAnsiTheme="minorHAnsi" w:cstheme="minorHAnsi"/>
                <w:color w:val="FFFFFF" w:themeColor="background1"/>
                <w:sz w:val="20"/>
              </w:rPr>
              <w:t>Daten und Fakten</w:t>
            </w:r>
          </w:p>
        </w:tc>
      </w:tr>
      <w:tr w:rsidR="001746B9" w:rsidRPr="00170C8A" w14:paraId="55A638FD" w14:textId="77777777" w:rsidTr="00247F73">
        <w:trPr>
          <w:trHeight w:val="21"/>
          <w:jc w:val="center"/>
        </w:trPr>
        <w:tc>
          <w:tcPr>
            <w:tcW w:w="2969" w:type="dxa"/>
            <w:vMerge w:val="restart"/>
            <w:tcBorders>
              <w:top w:val="nil"/>
            </w:tcBorders>
          </w:tcPr>
          <w:p w14:paraId="5F339D5A" w14:textId="77777777" w:rsidR="001746B9" w:rsidRPr="00170C8A" w:rsidRDefault="001746B9" w:rsidP="008D1967">
            <w:pPr>
              <w:pStyle w:val="ptabellenormli"/>
              <w:spacing w:before="40" w:after="40" w:line="276" w:lineRule="auto"/>
              <w:rPr>
                <w:rFonts w:asciiTheme="minorHAnsi" w:hAnsiTheme="minorHAnsi" w:cstheme="minorHAnsi"/>
                <w:b/>
              </w:rPr>
            </w:pPr>
            <w:r w:rsidRPr="00170C8A">
              <w:rPr>
                <w:rFonts w:asciiTheme="minorHAnsi" w:hAnsiTheme="minorHAnsi" w:cstheme="minorHAnsi"/>
                <w:noProof/>
                <w:lang w:val="fr-FR" w:eastAsia="fr-FR"/>
              </w:rPr>
              <w:drawing>
                <wp:inline distT="0" distB="0" distL="0" distR="0" wp14:anchorId="52C93470" wp14:editId="226D3EB0">
                  <wp:extent cx="1690804" cy="2762250"/>
                  <wp:effectExtent l="0" t="0" r="508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690804" cy="2762250"/>
                          </a:xfrm>
                          <a:prstGeom prst="rect">
                            <a:avLst/>
                          </a:prstGeom>
                        </pic:spPr>
                      </pic:pic>
                    </a:graphicData>
                  </a:graphic>
                </wp:inline>
              </w:drawing>
            </w:r>
          </w:p>
        </w:tc>
        <w:tc>
          <w:tcPr>
            <w:tcW w:w="3137" w:type="dxa"/>
            <w:tcBorders>
              <w:top w:val="nil"/>
            </w:tcBorders>
            <w:shd w:val="clear" w:color="auto" w:fill="F2F2F2" w:themeFill="background1" w:themeFillShade="F2"/>
            <w:vAlign w:val="center"/>
          </w:tcPr>
          <w:p w14:paraId="5A28800D" w14:textId="77777777" w:rsidR="001746B9" w:rsidRPr="00170C8A" w:rsidRDefault="001746B9" w:rsidP="008D1967">
            <w:pPr>
              <w:pStyle w:val="ptabellenormli"/>
              <w:spacing w:before="40" w:after="40" w:line="276" w:lineRule="auto"/>
              <w:rPr>
                <w:rFonts w:asciiTheme="minorHAnsi" w:hAnsiTheme="minorHAnsi" w:cstheme="minorHAnsi"/>
                <w:b/>
                <w:sz w:val="18"/>
              </w:rPr>
            </w:pPr>
            <w:r w:rsidRPr="00170C8A">
              <w:rPr>
                <w:rFonts w:asciiTheme="minorHAnsi" w:hAnsiTheme="minorHAnsi" w:cstheme="minorHAnsi"/>
                <w:b/>
                <w:sz w:val="18"/>
              </w:rPr>
              <w:t>Regierungschef</w:t>
            </w:r>
          </w:p>
        </w:tc>
        <w:tc>
          <w:tcPr>
            <w:tcW w:w="3228" w:type="dxa"/>
            <w:tcBorders>
              <w:top w:val="nil"/>
            </w:tcBorders>
            <w:vAlign w:val="center"/>
          </w:tcPr>
          <w:p w14:paraId="5EC56450" w14:textId="77777777" w:rsidR="001746B9" w:rsidRPr="00170C8A" w:rsidRDefault="001746B9" w:rsidP="008D1967">
            <w:pPr>
              <w:pStyle w:val="ptabellenormli"/>
              <w:spacing w:before="40" w:after="40" w:line="276" w:lineRule="auto"/>
              <w:rPr>
                <w:rFonts w:asciiTheme="minorHAnsi" w:hAnsiTheme="minorHAnsi" w:cstheme="minorHAnsi"/>
                <w:sz w:val="18"/>
              </w:rPr>
            </w:pPr>
            <w:proofErr w:type="spellStart"/>
            <w:r w:rsidRPr="00170C8A">
              <w:rPr>
                <w:rFonts w:asciiTheme="minorHAnsi" w:hAnsiTheme="minorHAnsi" w:cstheme="minorHAnsi"/>
                <w:sz w:val="18"/>
              </w:rPr>
              <w:t>Kaïs</w:t>
            </w:r>
            <w:proofErr w:type="spellEnd"/>
            <w:r w:rsidRPr="00170C8A">
              <w:rPr>
                <w:rFonts w:asciiTheme="minorHAnsi" w:hAnsiTheme="minorHAnsi" w:cstheme="minorHAnsi"/>
                <w:sz w:val="18"/>
              </w:rPr>
              <w:t xml:space="preserve"> </w:t>
            </w:r>
            <w:proofErr w:type="spellStart"/>
            <w:r w:rsidRPr="00170C8A">
              <w:rPr>
                <w:rFonts w:asciiTheme="minorHAnsi" w:hAnsiTheme="minorHAnsi" w:cstheme="minorHAnsi"/>
                <w:sz w:val="18"/>
              </w:rPr>
              <w:t>Saïed</w:t>
            </w:r>
            <w:proofErr w:type="spellEnd"/>
            <w:r w:rsidRPr="00170C8A">
              <w:rPr>
                <w:rFonts w:asciiTheme="minorHAnsi" w:hAnsiTheme="minorHAnsi" w:cstheme="minorHAnsi"/>
                <w:sz w:val="18"/>
              </w:rPr>
              <w:t xml:space="preserve"> </w:t>
            </w:r>
            <w:r w:rsidRPr="00170C8A">
              <w:rPr>
                <w:rFonts w:asciiTheme="minorHAnsi" w:hAnsiTheme="minorHAnsi" w:cstheme="minorHAnsi"/>
              </w:rPr>
              <w:t>(2021)</w:t>
            </w:r>
          </w:p>
        </w:tc>
      </w:tr>
      <w:tr w:rsidR="001746B9" w:rsidRPr="00170C8A" w14:paraId="3EBE6FA9" w14:textId="77777777" w:rsidTr="00247F73">
        <w:trPr>
          <w:trHeight w:val="21"/>
          <w:jc w:val="center"/>
        </w:trPr>
        <w:tc>
          <w:tcPr>
            <w:tcW w:w="2969" w:type="dxa"/>
            <w:vMerge/>
          </w:tcPr>
          <w:p w14:paraId="64E51946" w14:textId="77777777" w:rsidR="001746B9" w:rsidRPr="00170C8A" w:rsidRDefault="001746B9" w:rsidP="008D1967">
            <w:pPr>
              <w:pStyle w:val="ptabellenormli"/>
              <w:spacing w:before="40" w:after="40" w:line="276" w:lineRule="auto"/>
              <w:rPr>
                <w:rFonts w:asciiTheme="minorHAnsi" w:hAnsiTheme="minorHAnsi" w:cstheme="minorHAnsi"/>
                <w:b/>
              </w:rPr>
            </w:pPr>
          </w:p>
        </w:tc>
        <w:tc>
          <w:tcPr>
            <w:tcW w:w="3137" w:type="dxa"/>
            <w:shd w:val="clear" w:color="auto" w:fill="F2F2F2" w:themeFill="background1" w:themeFillShade="F2"/>
            <w:vAlign w:val="center"/>
          </w:tcPr>
          <w:p w14:paraId="44078AB1" w14:textId="77777777" w:rsidR="001746B9" w:rsidRPr="00170C8A" w:rsidRDefault="001746B9" w:rsidP="008D1967">
            <w:pPr>
              <w:pStyle w:val="ptabellenormli"/>
              <w:spacing w:before="40" w:after="40" w:line="276" w:lineRule="auto"/>
              <w:rPr>
                <w:rFonts w:asciiTheme="minorHAnsi" w:hAnsiTheme="minorHAnsi" w:cstheme="minorHAnsi"/>
                <w:b/>
                <w:sz w:val="18"/>
              </w:rPr>
            </w:pPr>
            <w:r w:rsidRPr="00170C8A">
              <w:rPr>
                <w:rFonts w:asciiTheme="minorHAnsi" w:hAnsiTheme="minorHAnsi" w:cstheme="minorHAnsi"/>
                <w:b/>
                <w:sz w:val="18"/>
              </w:rPr>
              <w:t>Premierminister</w:t>
            </w:r>
          </w:p>
        </w:tc>
        <w:tc>
          <w:tcPr>
            <w:tcW w:w="3228" w:type="dxa"/>
            <w:vAlign w:val="center"/>
          </w:tcPr>
          <w:p w14:paraId="7060703B" w14:textId="290E2576" w:rsidR="001746B9" w:rsidRPr="00170C8A" w:rsidRDefault="001746B9" w:rsidP="008D1967">
            <w:pPr>
              <w:pStyle w:val="ptabellenormli"/>
              <w:spacing w:before="40" w:after="40" w:line="276" w:lineRule="auto"/>
              <w:rPr>
                <w:rFonts w:asciiTheme="minorHAnsi" w:hAnsiTheme="minorHAnsi" w:cstheme="minorHAnsi"/>
                <w:sz w:val="18"/>
              </w:rPr>
            </w:pPr>
            <w:r w:rsidRPr="00170C8A">
              <w:rPr>
                <w:rFonts w:asciiTheme="minorHAnsi" w:hAnsiTheme="minorHAnsi" w:cstheme="minorHAnsi"/>
                <w:sz w:val="18"/>
              </w:rPr>
              <w:t>-</w:t>
            </w:r>
          </w:p>
        </w:tc>
      </w:tr>
      <w:tr w:rsidR="001746B9" w:rsidRPr="00170C8A" w14:paraId="4A92B9E5" w14:textId="77777777" w:rsidTr="00247F73">
        <w:trPr>
          <w:trHeight w:val="21"/>
          <w:jc w:val="center"/>
        </w:trPr>
        <w:tc>
          <w:tcPr>
            <w:tcW w:w="2969" w:type="dxa"/>
            <w:vMerge/>
          </w:tcPr>
          <w:p w14:paraId="2ACE7359" w14:textId="77777777" w:rsidR="001746B9" w:rsidRPr="00170C8A" w:rsidRDefault="001746B9" w:rsidP="008D1967">
            <w:pPr>
              <w:pStyle w:val="ptabellenormli"/>
              <w:spacing w:before="40" w:after="40" w:line="276" w:lineRule="auto"/>
              <w:rPr>
                <w:rFonts w:asciiTheme="minorHAnsi" w:hAnsiTheme="minorHAnsi" w:cstheme="minorHAnsi"/>
                <w:b/>
              </w:rPr>
            </w:pPr>
          </w:p>
        </w:tc>
        <w:tc>
          <w:tcPr>
            <w:tcW w:w="3137" w:type="dxa"/>
            <w:shd w:val="clear" w:color="auto" w:fill="F2F2F2" w:themeFill="background1" w:themeFillShade="F2"/>
            <w:vAlign w:val="center"/>
          </w:tcPr>
          <w:p w14:paraId="4D2BE5B6" w14:textId="77777777" w:rsidR="001746B9" w:rsidRPr="00170C8A" w:rsidRDefault="001746B9" w:rsidP="008D1967">
            <w:pPr>
              <w:pStyle w:val="ptabellenormli"/>
              <w:spacing w:before="40" w:after="40" w:line="276" w:lineRule="auto"/>
              <w:rPr>
                <w:rFonts w:asciiTheme="minorHAnsi" w:hAnsiTheme="minorHAnsi" w:cstheme="minorHAnsi"/>
                <w:b/>
                <w:sz w:val="18"/>
              </w:rPr>
            </w:pPr>
            <w:r w:rsidRPr="00170C8A">
              <w:rPr>
                <w:rFonts w:asciiTheme="minorHAnsi" w:hAnsiTheme="minorHAnsi" w:cstheme="minorHAnsi"/>
                <w:b/>
                <w:sz w:val="18"/>
              </w:rPr>
              <w:t>Einwohnerzahl</w:t>
            </w:r>
          </w:p>
        </w:tc>
        <w:tc>
          <w:tcPr>
            <w:tcW w:w="3228" w:type="dxa"/>
            <w:vAlign w:val="center"/>
          </w:tcPr>
          <w:p w14:paraId="281862CA" w14:textId="77777777" w:rsidR="001746B9" w:rsidRPr="00170C8A" w:rsidRDefault="001746B9" w:rsidP="008D1967">
            <w:pPr>
              <w:pStyle w:val="ptabellenormli"/>
              <w:spacing w:before="40" w:after="40" w:line="276" w:lineRule="auto"/>
              <w:rPr>
                <w:rFonts w:asciiTheme="minorHAnsi" w:hAnsiTheme="minorHAnsi" w:cstheme="minorHAnsi"/>
                <w:sz w:val="18"/>
              </w:rPr>
            </w:pPr>
            <w:r w:rsidRPr="00170C8A">
              <w:rPr>
                <w:rFonts w:asciiTheme="minorHAnsi" w:hAnsiTheme="minorHAnsi" w:cstheme="minorHAnsi"/>
                <w:sz w:val="18"/>
              </w:rPr>
              <w:t>11,</w:t>
            </w:r>
            <w:r w:rsidRPr="00170C8A">
              <w:rPr>
                <w:rFonts w:asciiTheme="minorHAnsi" w:hAnsiTheme="minorHAnsi" w:cstheme="minorHAnsi"/>
                <w:color w:val="000000" w:themeColor="text1"/>
                <w:sz w:val="18"/>
              </w:rPr>
              <w:t>9</w:t>
            </w:r>
            <w:r w:rsidRPr="00170C8A">
              <w:rPr>
                <w:rFonts w:asciiTheme="minorHAnsi" w:hAnsiTheme="minorHAnsi" w:cstheme="minorHAnsi"/>
                <w:sz w:val="18"/>
              </w:rPr>
              <w:t xml:space="preserve"> Millionen </w:t>
            </w:r>
            <w:r w:rsidRPr="00170C8A">
              <w:rPr>
                <w:rFonts w:asciiTheme="minorHAnsi" w:hAnsiTheme="minorHAnsi" w:cstheme="minorHAnsi"/>
              </w:rPr>
              <w:t>(2021)</w:t>
            </w:r>
          </w:p>
        </w:tc>
      </w:tr>
      <w:tr w:rsidR="001746B9" w:rsidRPr="00170C8A" w14:paraId="61F0C74B" w14:textId="77777777" w:rsidTr="00247F73">
        <w:trPr>
          <w:trHeight w:val="21"/>
          <w:jc w:val="center"/>
        </w:trPr>
        <w:tc>
          <w:tcPr>
            <w:tcW w:w="2969" w:type="dxa"/>
            <w:vMerge/>
          </w:tcPr>
          <w:p w14:paraId="79F27036" w14:textId="77777777" w:rsidR="001746B9" w:rsidRPr="00170C8A" w:rsidRDefault="001746B9" w:rsidP="008D1967">
            <w:pPr>
              <w:pStyle w:val="ptabellenormli"/>
              <w:spacing w:before="40" w:after="40" w:line="276" w:lineRule="auto"/>
              <w:rPr>
                <w:rFonts w:asciiTheme="minorHAnsi" w:hAnsiTheme="minorHAnsi" w:cstheme="minorHAnsi"/>
                <w:b/>
              </w:rPr>
            </w:pPr>
          </w:p>
        </w:tc>
        <w:tc>
          <w:tcPr>
            <w:tcW w:w="3137" w:type="dxa"/>
            <w:shd w:val="clear" w:color="auto" w:fill="F2F2F2" w:themeFill="background1" w:themeFillShade="F2"/>
            <w:vAlign w:val="center"/>
          </w:tcPr>
          <w:p w14:paraId="64C7C8A4" w14:textId="77777777" w:rsidR="001746B9" w:rsidRPr="00170C8A" w:rsidRDefault="001746B9" w:rsidP="008D1967">
            <w:pPr>
              <w:pStyle w:val="ptabellenormli"/>
              <w:spacing w:before="40" w:after="40" w:line="276" w:lineRule="auto"/>
              <w:rPr>
                <w:rFonts w:asciiTheme="minorHAnsi" w:hAnsiTheme="minorHAnsi" w:cstheme="minorHAnsi"/>
                <w:b/>
                <w:sz w:val="18"/>
              </w:rPr>
            </w:pPr>
            <w:r w:rsidRPr="00170C8A">
              <w:rPr>
                <w:rFonts w:asciiTheme="minorHAnsi" w:hAnsiTheme="minorHAnsi" w:cstheme="minorHAnsi"/>
                <w:b/>
                <w:sz w:val="18"/>
              </w:rPr>
              <w:t>Bevölkerungswachstum</w:t>
            </w:r>
          </w:p>
        </w:tc>
        <w:tc>
          <w:tcPr>
            <w:tcW w:w="3228" w:type="dxa"/>
            <w:vAlign w:val="center"/>
          </w:tcPr>
          <w:p w14:paraId="5F6933B0" w14:textId="77777777" w:rsidR="001746B9" w:rsidRPr="00170C8A" w:rsidRDefault="001746B9" w:rsidP="008D1967">
            <w:pPr>
              <w:pStyle w:val="ptabellenormli"/>
              <w:spacing w:before="40" w:after="40" w:line="276" w:lineRule="auto"/>
              <w:rPr>
                <w:rFonts w:asciiTheme="minorHAnsi" w:hAnsiTheme="minorHAnsi" w:cstheme="minorHAnsi"/>
                <w:sz w:val="18"/>
              </w:rPr>
            </w:pPr>
            <w:r w:rsidRPr="00170C8A">
              <w:rPr>
                <w:rFonts w:asciiTheme="minorHAnsi" w:hAnsiTheme="minorHAnsi" w:cstheme="minorHAnsi"/>
                <w:sz w:val="18"/>
              </w:rPr>
              <w:t xml:space="preserve">1,1% </w:t>
            </w:r>
            <w:r w:rsidRPr="00170C8A">
              <w:rPr>
                <w:rFonts w:asciiTheme="minorHAnsi" w:hAnsiTheme="minorHAnsi" w:cstheme="minorHAnsi"/>
              </w:rPr>
              <w:t>(2021)</w:t>
            </w:r>
          </w:p>
        </w:tc>
      </w:tr>
      <w:tr w:rsidR="001746B9" w:rsidRPr="00170C8A" w14:paraId="587AF344" w14:textId="77777777" w:rsidTr="00247F73">
        <w:trPr>
          <w:trHeight w:val="21"/>
          <w:jc w:val="center"/>
        </w:trPr>
        <w:tc>
          <w:tcPr>
            <w:tcW w:w="2969" w:type="dxa"/>
            <w:vMerge/>
          </w:tcPr>
          <w:p w14:paraId="6D1A78B6" w14:textId="77777777" w:rsidR="001746B9" w:rsidRPr="00170C8A" w:rsidRDefault="001746B9" w:rsidP="008D1967">
            <w:pPr>
              <w:pStyle w:val="ptabellenormli"/>
              <w:spacing w:before="40" w:after="40" w:line="276" w:lineRule="auto"/>
              <w:rPr>
                <w:rFonts w:asciiTheme="minorHAnsi" w:hAnsiTheme="minorHAnsi" w:cstheme="minorHAnsi"/>
                <w:b/>
              </w:rPr>
            </w:pPr>
          </w:p>
        </w:tc>
        <w:tc>
          <w:tcPr>
            <w:tcW w:w="3137" w:type="dxa"/>
            <w:shd w:val="clear" w:color="auto" w:fill="F2F2F2" w:themeFill="background1" w:themeFillShade="F2"/>
            <w:vAlign w:val="center"/>
          </w:tcPr>
          <w:p w14:paraId="2B95D09C" w14:textId="77777777" w:rsidR="001746B9" w:rsidRPr="00170C8A" w:rsidRDefault="001746B9" w:rsidP="008D1967">
            <w:pPr>
              <w:pStyle w:val="ptabellenormli"/>
              <w:spacing w:before="40" w:after="40" w:line="276" w:lineRule="auto"/>
              <w:rPr>
                <w:rFonts w:asciiTheme="minorHAnsi" w:hAnsiTheme="minorHAnsi" w:cstheme="minorHAnsi"/>
                <w:b/>
                <w:sz w:val="18"/>
              </w:rPr>
            </w:pPr>
            <w:r w:rsidRPr="00170C8A">
              <w:rPr>
                <w:rFonts w:asciiTheme="minorHAnsi" w:hAnsiTheme="minorHAnsi" w:cstheme="minorHAnsi"/>
                <w:b/>
                <w:sz w:val="18"/>
              </w:rPr>
              <w:t>BIP</w:t>
            </w:r>
          </w:p>
        </w:tc>
        <w:tc>
          <w:tcPr>
            <w:tcW w:w="3228" w:type="dxa"/>
            <w:vAlign w:val="center"/>
          </w:tcPr>
          <w:p w14:paraId="2D70B921" w14:textId="77777777" w:rsidR="001746B9" w:rsidRPr="00170C8A" w:rsidRDefault="001746B9" w:rsidP="008D1967">
            <w:pPr>
              <w:pStyle w:val="ptabellenormli"/>
              <w:spacing w:before="40" w:after="40" w:line="276" w:lineRule="auto"/>
              <w:rPr>
                <w:rFonts w:asciiTheme="minorHAnsi" w:hAnsiTheme="minorHAnsi" w:cstheme="minorHAnsi"/>
                <w:sz w:val="18"/>
                <w:lang w:val="en-US"/>
              </w:rPr>
            </w:pPr>
            <w:r w:rsidRPr="00170C8A">
              <w:rPr>
                <w:rFonts w:asciiTheme="minorHAnsi" w:hAnsiTheme="minorHAnsi" w:cstheme="minorHAnsi"/>
                <w:sz w:val="18"/>
              </w:rPr>
              <w:t xml:space="preserve">39,236 Mrd. USD </w:t>
            </w:r>
            <w:r w:rsidRPr="00170C8A">
              <w:rPr>
                <w:rFonts w:asciiTheme="minorHAnsi" w:hAnsiTheme="minorHAnsi" w:cstheme="minorHAnsi"/>
              </w:rPr>
              <w:t>(2020)</w:t>
            </w:r>
          </w:p>
        </w:tc>
      </w:tr>
      <w:tr w:rsidR="001746B9" w:rsidRPr="00170C8A" w14:paraId="0EDD01FE" w14:textId="77777777" w:rsidTr="00247F73">
        <w:trPr>
          <w:trHeight w:val="21"/>
          <w:jc w:val="center"/>
        </w:trPr>
        <w:tc>
          <w:tcPr>
            <w:tcW w:w="2969" w:type="dxa"/>
            <w:vMerge/>
          </w:tcPr>
          <w:p w14:paraId="7FD34E18" w14:textId="77777777" w:rsidR="001746B9" w:rsidRPr="00170C8A" w:rsidRDefault="001746B9" w:rsidP="008D1967">
            <w:pPr>
              <w:pStyle w:val="ptabellenormli"/>
              <w:spacing w:before="40" w:after="40" w:line="276" w:lineRule="auto"/>
              <w:rPr>
                <w:rFonts w:asciiTheme="minorHAnsi" w:hAnsiTheme="minorHAnsi" w:cstheme="minorHAnsi"/>
                <w:b/>
              </w:rPr>
            </w:pPr>
          </w:p>
        </w:tc>
        <w:tc>
          <w:tcPr>
            <w:tcW w:w="3137" w:type="dxa"/>
            <w:shd w:val="clear" w:color="auto" w:fill="F2F2F2" w:themeFill="background1" w:themeFillShade="F2"/>
            <w:vAlign w:val="center"/>
          </w:tcPr>
          <w:p w14:paraId="6867D91D" w14:textId="77777777" w:rsidR="001746B9" w:rsidRPr="00170C8A" w:rsidRDefault="001746B9" w:rsidP="008D1967">
            <w:pPr>
              <w:pStyle w:val="ptabellenormli"/>
              <w:spacing w:before="40" w:after="40" w:line="276" w:lineRule="auto"/>
              <w:rPr>
                <w:rFonts w:asciiTheme="minorHAnsi" w:hAnsiTheme="minorHAnsi" w:cstheme="minorHAnsi"/>
                <w:b/>
                <w:sz w:val="18"/>
              </w:rPr>
            </w:pPr>
            <w:r w:rsidRPr="00170C8A">
              <w:rPr>
                <w:rFonts w:asciiTheme="minorHAnsi" w:hAnsiTheme="minorHAnsi" w:cstheme="minorHAnsi"/>
                <w:b/>
                <w:sz w:val="18"/>
              </w:rPr>
              <w:t>BIP-Wachstumsrate</w:t>
            </w:r>
          </w:p>
        </w:tc>
        <w:tc>
          <w:tcPr>
            <w:tcW w:w="3228" w:type="dxa"/>
            <w:vAlign w:val="center"/>
          </w:tcPr>
          <w:p w14:paraId="73012B0A" w14:textId="77777777" w:rsidR="001746B9" w:rsidRPr="00170C8A" w:rsidRDefault="001746B9" w:rsidP="008D1967">
            <w:pPr>
              <w:pStyle w:val="ptabellenormli"/>
              <w:spacing w:before="40" w:after="40" w:line="276" w:lineRule="auto"/>
              <w:rPr>
                <w:rFonts w:asciiTheme="minorHAnsi" w:hAnsiTheme="minorHAnsi" w:cstheme="minorHAnsi"/>
                <w:sz w:val="18"/>
              </w:rPr>
            </w:pPr>
            <w:r w:rsidRPr="00170C8A">
              <w:rPr>
                <w:rFonts w:asciiTheme="minorHAnsi" w:hAnsiTheme="minorHAnsi" w:cstheme="minorHAnsi"/>
                <w:sz w:val="18"/>
              </w:rPr>
              <w:t xml:space="preserve">-8,8% (COVID) </w:t>
            </w:r>
            <w:r w:rsidRPr="00170C8A">
              <w:rPr>
                <w:rFonts w:asciiTheme="minorHAnsi" w:hAnsiTheme="minorHAnsi" w:cstheme="minorHAnsi"/>
              </w:rPr>
              <w:t>(2020)</w:t>
            </w:r>
          </w:p>
        </w:tc>
      </w:tr>
      <w:tr w:rsidR="001746B9" w:rsidRPr="00170C8A" w14:paraId="1EB750C1" w14:textId="77777777" w:rsidTr="00247F73">
        <w:trPr>
          <w:trHeight w:val="21"/>
          <w:jc w:val="center"/>
        </w:trPr>
        <w:tc>
          <w:tcPr>
            <w:tcW w:w="2969" w:type="dxa"/>
            <w:vMerge/>
          </w:tcPr>
          <w:p w14:paraId="4FA21B5B" w14:textId="77777777" w:rsidR="001746B9" w:rsidRPr="00170C8A" w:rsidRDefault="001746B9" w:rsidP="008D1967">
            <w:pPr>
              <w:pStyle w:val="ptabellenormli"/>
              <w:spacing w:before="40" w:after="40" w:line="276" w:lineRule="auto"/>
              <w:rPr>
                <w:rFonts w:asciiTheme="minorHAnsi" w:hAnsiTheme="minorHAnsi" w:cstheme="minorHAnsi"/>
                <w:b/>
              </w:rPr>
            </w:pPr>
          </w:p>
        </w:tc>
        <w:tc>
          <w:tcPr>
            <w:tcW w:w="3137" w:type="dxa"/>
            <w:shd w:val="clear" w:color="auto" w:fill="F2F2F2" w:themeFill="background1" w:themeFillShade="F2"/>
            <w:vAlign w:val="center"/>
          </w:tcPr>
          <w:p w14:paraId="190040BC" w14:textId="77777777" w:rsidR="001746B9" w:rsidRPr="00170C8A" w:rsidRDefault="001746B9" w:rsidP="008D1967">
            <w:pPr>
              <w:pStyle w:val="ptabellenormli"/>
              <w:spacing w:before="40" w:after="40" w:line="276" w:lineRule="auto"/>
              <w:rPr>
                <w:rFonts w:asciiTheme="minorHAnsi" w:hAnsiTheme="minorHAnsi" w:cstheme="minorHAnsi"/>
                <w:b/>
                <w:sz w:val="18"/>
              </w:rPr>
            </w:pPr>
            <w:r w:rsidRPr="00170C8A">
              <w:rPr>
                <w:rFonts w:asciiTheme="minorHAnsi" w:hAnsiTheme="minorHAnsi" w:cstheme="minorHAnsi"/>
                <w:b/>
                <w:sz w:val="18"/>
              </w:rPr>
              <w:t xml:space="preserve">Arbeitslosenquote </w:t>
            </w:r>
          </w:p>
        </w:tc>
        <w:tc>
          <w:tcPr>
            <w:tcW w:w="3228" w:type="dxa"/>
            <w:vAlign w:val="center"/>
          </w:tcPr>
          <w:p w14:paraId="39C03B7F" w14:textId="77777777" w:rsidR="001746B9" w:rsidRPr="00170C8A" w:rsidRDefault="001746B9" w:rsidP="008D1967">
            <w:pPr>
              <w:pStyle w:val="ptabellenormli"/>
              <w:spacing w:before="40" w:after="40" w:line="276" w:lineRule="auto"/>
              <w:rPr>
                <w:rFonts w:asciiTheme="minorHAnsi" w:hAnsiTheme="minorHAnsi" w:cstheme="minorHAnsi"/>
                <w:sz w:val="18"/>
              </w:rPr>
            </w:pPr>
            <w:r w:rsidRPr="00170C8A">
              <w:rPr>
                <w:rFonts w:asciiTheme="minorHAnsi" w:hAnsiTheme="minorHAnsi" w:cstheme="minorHAnsi"/>
                <w:sz w:val="18"/>
              </w:rPr>
              <w:t xml:space="preserve">17,8% </w:t>
            </w:r>
            <w:r w:rsidRPr="00170C8A">
              <w:rPr>
                <w:rFonts w:asciiTheme="minorHAnsi" w:hAnsiTheme="minorHAnsi" w:cstheme="minorHAnsi"/>
              </w:rPr>
              <w:t>(2021)</w:t>
            </w:r>
          </w:p>
        </w:tc>
      </w:tr>
      <w:tr w:rsidR="001746B9" w:rsidRPr="00170C8A" w14:paraId="6DF53A6E" w14:textId="77777777" w:rsidTr="00247F73">
        <w:trPr>
          <w:trHeight w:val="21"/>
          <w:jc w:val="center"/>
        </w:trPr>
        <w:tc>
          <w:tcPr>
            <w:tcW w:w="2969" w:type="dxa"/>
            <w:vMerge/>
          </w:tcPr>
          <w:p w14:paraId="79A1B8E0" w14:textId="77777777" w:rsidR="001746B9" w:rsidRPr="00170C8A" w:rsidRDefault="001746B9" w:rsidP="008D1967">
            <w:pPr>
              <w:pStyle w:val="ptabellenormli"/>
              <w:spacing w:before="40" w:after="40" w:line="276" w:lineRule="auto"/>
              <w:rPr>
                <w:rFonts w:asciiTheme="minorHAnsi" w:hAnsiTheme="minorHAnsi" w:cstheme="minorHAnsi"/>
                <w:b/>
              </w:rPr>
            </w:pPr>
          </w:p>
        </w:tc>
        <w:tc>
          <w:tcPr>
            <w:tcW w:w="3137" w:type="dxa"/>
            <w:shd w:val="clear" w:color="auto" w:fill="F2F2F2" w:themeFill="background1" w:themeFillShade="F2"/>
            <w:vAlign w:val="center"/>
          </w:tcPr>
          <w:p w14:paraId="4C3E757E" w14:textId="77777777" w:rsidR="001746B9" w:rsidRPr="00170C8A" w:rsidRDefault="001746B9" w:rsidP="008D1967">
            <w:pPr>
              <w:pStyle w:val="ptabellenormli"/>
              <w:spacing w:before="40" w:after="40" w:line="276" w:lineRule="auto"/>
              <w:rPr>
                <w:rFonts w:asciiTheme="minorHAnsi" w:hAnsiTheme="minorHAnsi" w:cstheme="minorHAnsi"/>
                <w:b/>
                <w:sz w:val="18"/>
              </w:rPr>
            </w:pPr>
            <w:r w:rsidRPr="00170C8A">
              <w:rPr>
                <w:rFonts w:asciiTheme="minorHAnsi" w:hAnsiTheme="minorHAnsi" w:cstheme="minorHAnsi"/>
                <w:b/>
                <w:sz w:val="18"/>
              </w:rPr>
              <w:t>Inflationsrate</w:t>
            </w:r>
          </w:p>
        </w:tc>
        <w:tc>
          <w:tcPr>
            <w:tcW w:w="3228" w:type="dxa"/>
            <w:vAlign w:val="center"/>
          </w:tcPr>
          <w:p w14:paraId="132E3007" w14:textId="77777777" w:rsidR="001746B9" w:rsidRPr="00170C8A" w:rsidRDefault="001746B9" w:rsidP="008D1967">
            <w:pPr>
              <w:pStyle w:val="ptabellenormli"/>
              <w:spacing w:before="40" w:after="40" w:line="276" w:lineRule="auto"/>
              <w:rPr>
                <w:rFonts w:asciiTheme="minorHAnsi" w:hAnsiTheme="minorHAnsi" w:cstheme="minorHAnsi"/>
                <w:sz w:val="18"/>
              </w:rPr>
            </w:pPr>
            <w:r w:rsidRPr="00170C8A">
              <w:rPr>
                <w:rFonts w:asciiTheme="minorHAnsi" w:hAnsiTheme="minorHAnsi" w:cstheme="minorHAnsi"/>
                <w:sz w:val="18"/>
              </w:rPr>
              <w:t xml:space="preserve">5,7% </w:t>
            </w:r>
            <w:r w:rsidRPr="00170C8A">
              <w:rPr>
                <w:rFonts w:asciiTheme="minorHAnsi" w:hAnsiTheme="minorHAnsi" w:cstheme="minorHAnsi"/>
              </w:rPr>
              <w:t>(2020)</w:t>
            </w:r>
          </w:p>
        </w:tc>
      </w:tr>
      <w:tr w:rsidR="001746B9" w:rsidRPr="00170C8A" w14:paraId="0E90BFE9" w14:textId="77777777" w:rsidTr="00247F73">
        <w:trPr>
          <w:trHeight w:val="21"/>
          <w:jc w:val="center"/>
        </w:trPr>
        <w:tc>
          <w:tcPr>
            <w:tcW w:w="2969" w:type="dxa"/>
            <w:vMerge/>
          </w:tcPr>
          <w:p w14:paraId="73CF8F82" w14:textId="77777777" w:rsidR="001746B9" w:rsidRPr="00170C8A" w:rsidRDefault="001746B9" w:rsidP="008D1967">
            <w:pPr>
              <w:pStyle w:val="ptabellenormli"/>
              <w:spacing w:before="40" w:after="40" w:line="276" w:lineRule="auto"/>
              <w:rPr>
                <w:rFonts w:asciiTheme="minorHAnsi" w:hAnsiTheme="minorHAnsi" w:cstheme="minorHAnsi"/>
                <w:b/>
              </w:rPr>
            </w:pPr>
          </w:p>
        </w:tc>
        <w:tc>
          <w:tcPr>
            <w:tcW w:w="3137" w:type="dxa"/>
            <w:shd w:val="clear" w:color="auto" w:fill="F2F2F2" w:themeFill="background1" w:themeFillShade="F2"/>
            <w:vAlign w:val="center"/>
          </w:tcPr>
          <w:p w14:paraId="7CC170AC" w14:textId="77777777" w:rsidR="001746B9" w:rsidRPr="00170C8A" w:rsidRDefault="001746B9" w:rsidP="008D1967">
            <w:pPr>
              <w:pStyle w:val="ptabellenormli"/>
              <w:spacing w:before="40" w:after="40" w:line="276" w:lineRule="auto"/>
              <w:rPr>
                <w:rFonts w:asciiTheme="minorHAnsi" w:hAnsiTheme="minorHAnsi" w:cstheme="minorHAnsi"/>
                <w:b/>
                <w:sz w:val="18"/>
              </w:rPr>
            </w:pPr>
            <w:r w:rsidRPr="00170C8A">
              <w:rPr>
                <w:rFonts w:asciiTheme="minorHAnsi" w:hAnsiTheme="minorHAnsi" w:cstheme="minorHAnsi"/>
                <w:b/>
                <w:sz w:val="18"/>
              </w:rPr>
              <w:t>Staatsform</w:t>
            </w:r>
          </w:p>
        </w:tc>
        <w:tc>
          <w:tcPr>
            <w:tcW w:w="3228" w:type="dxa"/>
            <w:vAlign w:val="center"/>
          </w:tcPr>
          <w:p w14:paraId="240C7FD4" w14:textId="77777777" w:rsidR="001746B9" w:rsidRPr="00170C8A" w:rsidRDefault="001746B9" w:rsidP="008D1967">
            <w:pPr>
              <w:pStyle w:val="ptabellenormli"/>
              <w:spacing w:before="40" w:after="40" w:line="276" w:lineRule="auto"/>
              <w:rPr>
                <w:rFonts w:asciiTheme="minorHAnsi" w:hAnsiTheme="minorHAnsi" w:cstheme="minorHAnsi"/>
                <w:sz w:val="18"/>
              </w:rPr>
            </w:pPr>
            <w:r w:rsidRPr="00170C8A">
              <w:rPr>
                <w:rFonts w:asciiTheme="minorHAnsi" w:hAnsiTheme="minorHAnsi" w:cstheme="minorHAnsi"/>
                <w:sz w:val="18"/>
              </w:rPr>
              <w:t>Republik</w:t>
            </w:r>
          </w:p>
        </w:tc>
      </w:tr>
      <w:tr w:rsidR="001746B9" w:rsidRPr="00170C8A" w14:paraId="470BCFE6" w14:textId="77777777" w:rsidTr="00247F73">
        <w:trPr>
          <w:trHeight w:val="21"/>
          <w:jc w:val="center"/>
        </w:trPr>
        <w:tc>
          <w:tcPr>
            <w:tcW w:w="2969" w:type="dxa"/>
            <w:vMerge/>
          </w:tcPr>
          <w:p w14:paraId="621F0397" w14:textId="77777777" w:rsidR="001746B9" w:rsidRPr="00170C8A" w:rsidRDefault="001746B9" w:rsidP="008D1967">
            <w:pPr>
              <w:pStyle w:val="ptabellenormli"/>
              <w:spacing w:before="40" w:after="40" w:line="276" w:lineRule="auto"/>
              <w:rPr>
                <w:rFonts w:asciiTheme="minorHAnsi" w:hAnsiTheme="minorHAnsi" w:cstheme="minorHAnsi"/>
                <w:b/>
              </w:rPr>
            </w:pPr>
          </w:p>
        </w:tc>
        <w:tc>
          <w:tcPr>
            <w:tcW w:w="3137" w:type="dxa"/>
            <w:shd w:val="clear" w:color="auto" w:fill="F2F2F2" w:themeFill="background1" w:themeFillShade="F2"/>
            <w:vAlign w:val="center"/>
          </w:tcPr>
          <w:p w14:paraId="5AD9AFAA" w14:textId="77777777" w:rsidR="001746B9" w:rsidRPr="00170C8A" w:rsidRDefault="001746B9" w:rsidP="008D1967">
            <w:pPr>
              <w:pStyle w:val="ptabellenormli"/>
              <w:spacing w:before="40" w:after="40" w:line="276" w:lineRule="auto"/>
              <w:rPr>
                <w:rFonts w:asciiTheme="minorHAnsi" w:hAnsiTheme="minorHAnsi" w:cstheme="minorHAnsi"/>
                <w:b/>
                <w:sz w:val="18"/>
              </w:rPr>
            </w:pPr>
            <w:r w:rsidRPr="00170C8A">
              <w:rPr>
                <w:rFonts w:asciiTheme="minorHAnsi" w:hAnsiTheme="minorHAnsi" w:cstheme="minorHAnsi"/>
                <w:b/>
                <w:sz w:val="18"/>
              </w:rPr>
              <w:t>Fläche</w:t>
            </w:r>
          </w:p>
        </w:tc>
        <w:tc>
          <w:tcPr>
            <w:tcW w:w="3228" w:type="dxa"/>
            <w:vAlign w:val="center"/>
          </w:tcPr>
          <w:p w14:paraId="6C34F79A" w14:textId="77777777" w:rsidR="001746B9" w:rsidRPr="00170C8A" w:rsidRDefault="001746B9" w:rsidP="008D1967">
            <w:pPr>
              <w:pStyle w:val="ptabellenormli"/>
              <w:spacing w:before="40" w:after="40" w:line="276" w:lineRule="auto"/>
              <w:rPr>
                <w:rFonts w:asciiTheme="minorHAnsi" w:hAnsiTheme="minorHAnsi" w:cstheme="minorHAnsi"/>
                <w:sz w:val="18"/>
                <w:vertAlign w:val="superscript"/>
              </w:rPr>
            </w:pPr>
            <w:r w:rsidRPr="00170C8A">
              <w:rPr>
                <w:rFonts w:asciiTheme="minorHAnsi" w:hAnsiTheme="minorHAnsi" w:cstheme="minorHAnsi"/>
                <w:sz w:val="18"/>
              </w:rPr>
              <w:t>163.610 km</w:t>
            </w:r>
          </w:p>
        </w:tc>
      </w:tr>
      <w:tr w:rsidR="001746B9" w:rsidRPr="00170C8A" w14:paraId="625C2FB0" w14:textId="77777777" w:rsidTr="00247F73">
        <w:trPr>
          <w:trHeight w:val="21"/>
          <w:jc w:val="center"/>
        </w:trPr>
        <w:tc>
          <w:tcPr>
            <w:tcW w:w="2969" w:type="dxa"/>
            <w:vMerge/>
          </w:tcPr>
          <w:p w14:paraId="2B337543" w14:textId="77777777" w:rsidR="001746B9" w:rsidRPr="00170C8A" w:rsidRDefault="001746B9" w:rsidP="008D1967">
            <w:pPr>
              <w:pStyle w:val="ptabellenormli"/>
              <w:spacing w:before="40" w:after="40" w:line="276" w:lineRule="auto"/>
              <w:rPr>
                <w:rFonts w:asciiTheme="minorHAnsi" w:hAnsiTheme="minorHAnsi" w:cstheme="minorHAnsi"/>
                <w:b/>
              </w:rPr>
            </w:pPr>
          </w:p>
        </w:tc>
        <w:tc>
          <w:tcPr>
            <w:tcW w:w="3137" w:type="dxa"/>
            <w:shd w:val="clear" w:color="auto" w:fill="F2F2F2" w:themeFill="background1" w:themeFillShade="F2"/>
            <w:vAlign w:val="center"/>
          </w:tcPr>
          <w:p w14:paraId="7026427C" w14:textId="77777777" w:rsidR="001746B9" w:rsidRPr="00170C8A" w:rsidRDefault="001746B9" w:rsidP="008D1967">
            <w:pPr>
              <w:pStyle w:val="ptabellenormli"/>
              <w:spacing w:before="40" w:after="40" w:line="276" w:lineRule="auto"/>
              <w:rPr>
                <w:rFonts w:asciiTheme="minorHAnsi" w:hAnsiTheme="minorHAnsi" w:cstheme="minorHAnsi"/>
                <w:b/>
                <w:sz w:val="18"/>
              </w:rPr>
            </w:pPr>
            <w:r w:rsidRPr="00170C8A">
              <w:rPr>
                <w:rFonts w:asciiTheme="minorHAnsi" w:hAnsiTheme="minorHAnsi" w:cstheme="minorHAnsi"/>
                <w:b/>
                <w:sz w:val="18"/>
              </w:rPr>
              <w:t>Größere Städte (Einwohner)</w:t>
            </w:r>
          </w:p>
        </w:tc>
        <w:tc>
          <w:tcPr>
            <w:tcW w:w="3228" w:type="dxa"/>
            <w:vAlign w:val="center"/>
          </w:tcPr>
          <w:p w14:paraId="06D18344" w14:textId="77777777" w:rsidR="001746B9" w:rsidRPr="00170C8A" w:rsidRDefault="001746B9" w:rsidP="008D1967">
            <w:pPr>
              <w:pStyle w:val="ptabellenormli"/>
              <w:spacing w:before="40" w:after="40" w:line="276" w:lineRule="auto"/>
              <w:rPr>
                <w:rFonts w:asciiTheme="minorHAnsi" w:hAnsiTheme="minorHAnsi" w:cstheme="minorHAnsi"/>
                <w:sz w:val="18"/>
                <w:lang w:val="fr-FR"/>
              </w:rPr>
            </w:pPr>
            <w:r w:rsidRPr="00170C8A">
              <w:rPr>
                <w:rFonts w:asciiTheme="minorHAnsi" w:hAnsiTheme="minorHAnsi" w:cstheme="minorHAnsi"/>
                <w:sz w:val="18"/>
                <w:lang w:val="fr-FR"/>
              </w:rPr>
              <w:t>Tunis (693.000)</w:t>
            </w:r>
          </w:p>
          <w:p w14:paraId="2EA570B1" w14:textId="77777777" w:rsidR="001746B9" w:rsidRPr="00170C8A" w:rsidRDefault="001746B9" w:rsidP="008D1967">
            <w:pPr>
              <w:pStyle w:val="ptabellenormli"/>
              <w:spacing w:before="40" w:after="40" w:line="276" w:lineRule="auto"/>
              <w:rPr>
                <w:rFonts w:asciiTheme="minorHAnsi" w:hAnsiTheme="minorHAnsi" w:cstheme="minorHAnsi"/>
                <w:sz w:val="18"/>
                <w:lang w:val="fr-FR"/>
              </w:rPr>
            </w:pPr>
            <w:r w:rsidRPr="00170C8A">
              <w:rPr>
                <w:rFonts w:asciiTheme="minorHAnsi" w:hAnsiTheme="minorHAnsi" w:cstheme="minorHAnsi"/>
                <w:sz w:val="18"/>
                <w:lang w:val="fr-FR"/>
              </w:rPr>
              <w:t>Sfax (277.000)</w:t>
            </w:r>
          </w:p>
          <w:p w14:paraId="1BE0F77E" w14:textId="77777777" w:rsidR="001746B9" w:rsidRPr="00170C8A" w:rsidRDefault="001746B9" w:rsidP="008D1967">
            <w:pPr>
              <w:pStyle w:val="ptabellenormli"/>
              <w:spacing w:before="40" w:after="40" w:line="276" w:lineRule="auto"/>
              <w:rPr>
                <w:rFonts w:asciiTheme="minorHAnsi" w:hAnsiTheme="minorHAnsi" w:cstheme="minorHAnsi"/>
                <w:sz w:val="18"/>
                <w:lang w:val="fr-FR"/>
              </w:rPr>
            </w:pPr>
            <w:r w:rsidRPr="00170C8A">
              <w:rPr>
                <w:rFonts w:asciiTheme="minorHAnsi" w:hAnsiTheme="minorHAnsi" w:cstheme="minorHAnsi"/>
                <w:sz w:val="18"/>
                <w:lang w:val="fr-FR"/>
              </w:rPr>
              <w:t>Sousse (164.000)</w:t>
            </w:r>
          </w:p>
          <w:p w14:paraId="2083514D" w14:textId="77777777" w:rsidR="001746B9" w:rsidRPr="00170C8A" w:rsidRDefault="001746B9" w:rsidP="008D1967">
            <w:pPr>
              <w:pStyle w:val="ptabellenormli"/>
              <w:spacing w:before="40" w:after="40" w:line="276" w:lineRule="auto"/>
              <w:rPr>
                <w:rFonts w:asciiTheme="minorHAnsi" w:hAnsiTheme="minorHAnsi" w:cstheme="minorHAnsi"/>
                <w:sz w:val="18"/>
                <w:lang w:val="fr-FR"/>
              </w:rPr>
            </w:pPr>
            <w:r w:rsidRPr="00170C8A">
              <w:rPr>
                <w:rFonts w:asciiTheme="minorHAnsi" w:hAnsiTheme="minorHAnsi" w:cstheme="minorHAnsi"/>
                <w:sz w:val="18"/>
                <w:lang w:val="fr-FR"/>
              </w:rPr>
              <w:t>Kairouan (120.000)</w:t>
            </w:r>
          </w:p>
          <w:p w14:paraId="68D2B71C" w14:textId="77777777" w:rsidR="001746B9" w:rsidRPr="00170C8A" w:rsidRDefault="001746B9" w:rsidP="008D1967">
            <w:pPr>
              <w:pStyle w:val="ptabellenormli"/>
              <w:spacing w:before="40" w:after="40" w:line="276" w:lineRule="auto"/>
              <w:rPr>
                <w:rFonts w:asciiTheme="minorHAnsi" w:hAnsiTheme="minorHAnsi" w:cstheme="minorHAnsi"/>
                <w:sz w:val="18"/>
                <w:lang w:val="fr-FR"/>
              </w:rPr>
            </w:pPr>
            <w:r w:rsidRPr="00170C8A">
              <w:rPr>
                <w:rFonts w:asciiTheme="minorHAnsi" w:hAnsiTheme="minorHAnsi" w:cstheme="minorHAnsi"/>
                <w:sz w:val="18"/>
                <w:lang w:val="fr-FR"/>
              </w:rPr>
              <w:t>Bizerte (115.000</w:t>
            </w:r>
          </w:p>
          <w:p w14:paraId="76C79997" w14:textId="77777777" w:rsidR="001746B9" w:rsidRPr="00170C8A" w:rsidRDefault="001746B9" w:rsidP="008D1967">
            <w:pPr>
              <w:pStyle w:val="ptabellenormli"/>
              <w:spacing w:before="40" w:after="40" w:line="276" w:lineRule="auto"/>
              <w:rPr>
                <w:rFonts w:asciiTheme="minorHAnsi" w:hAnsiTheme="minorHAnsi" w:cstheme="minorHAnsi"/>
                <w:sz w:val="18"/>
                <w:lang w:val="fr-FR"/>
              </w:rPr>
            </w:pPr>
            <w:proofErr w:type="gramStart"/>
            <w:r w:rsidRPr="00170C8A">
              <w:rPr>
                <w:rFonts w:asciiTheme="minorHAnsi" w:hAnsiTheme="minorHAnsi" w:cstheme="minorHAnsi"/>
                <w:sz w:val="18"/>
                <w:lang w:val="fr-FR"/>
              </w:rPr>
              <w:t>Gabes</w:t>
            </w:r>
            <w:proofErr w:type="gramEnd"/>
            <w:r w:rsidRPr="00170C8A">
              <w:rPr>
                <w:rFonts w:asciiTheme="minorHAnsi" w:hAnsiTheme="minorHAnsi" w:cstheme="minorHAnsi"/>
                <w:sz w:val="18"/>
                <w:lang w:val="fr-FR"/>
              </w:rPr>
              <w:t xml:space="preserve"> (110.000)</w:t>
            </w:r>
          </w:p>
        </w:tc>
      </w:tr>
    </w:tbl>
    <w:p w14:paraId="059E5A44" w14:textId="77777777" w:rsidR="001746B9" w:rsidRPr="00170C8A" w:rsidRDefault="001746B9" w:rsidP="008D1967">
      <w:pPr>
        <w:pStyle w:val="Notedebasdepage"/>
        <w:spacing w:line="276" w:lineRule="auto"/>
        <w:rPr>
          <w:rFonts w:eastAsia="Cambria" w:cstheme="minorHAnsi"/>
          <w:color w:val="000000"/>
          <w:sz w:val="16"/>
          <w:szCs w:val="16"/>
          <w:lang w:val="de-DE" w:eastAsia="de-DE"/>
        </w:rPr>
      </w:pPr>
      <w:r w:rsidRPr="00170C8A">
        <w:rPr>
          <w:rFonts w:eastAsia="Cambria" w:cstheme="minorHAnsi"/>
          <w:color w:val="000000"/>
          <w:sz w:val="16"/>
          <w:szCs w:val="16"/>
          <w:lang w:val="de-DE" w:eastAsia="de-DE"/>
        </w:rPr>
        <w:t>Quellen:</w:t>
      </w:r>
      <w:r w:rsidRPr="00170C8A">
        <w:rPr>
          <w:rFonts w:eastAsia="Cambria" w:cstheme="minorHAnsi"/>
          <w:color w:val="000000" w:themeColor="text1"/>
          <w:sz w:val="16"/>
          <w:szCs w:val="16"/>
          <w:lang w:val="de-DE" w:eastAsia="de-DE"/>
        </w:rPr>
        <w:t xml:space="preserve"> </w:t>
      </w:r>
      <w:r w:rsidRPr="00170C8A">
        <w:rPr>
          <w:rFonts w:eastAsia="Cambria" w:cstheme="minorHAnsi"/>
          <w:color w:val="000000"/>
          <w:sz w:val="16"/>
          <w:szCs w:val="16"/>
          <w:lang w:val="de-DE" w:eastAsia="de-DE"/>
        </w:rPr>
        <w:t xml:space="preserve">Germany Trade &amp; Invest (GTAI) Wirtschaftsdaten Kompakt Mai 2021 </w:t>
      </w:r>
      <w:r w:rsidRPr="00170C8A">
        <w:rPr>
          <w:rFonts w:eastAsia="Cambria" w:cstheme="minorHAnsi"/>
          <w:sz w:val="16"/>
          <w:szCs w:val="16"/>
          <w:lang w:val="de-DE" w:eastAsia="de-DE"/>
        </w:rPr>
        <w:t>https://www.worldbank.org/en/country/tunisia/overview</w:t>
      </w:r>
      <w:r w:rsidRPr="00170C8A">
        <w:rPr>
          <w:rFonts w:eastAsia="Cambria" w:cstheme="minorHAnsi"/>
          <w:color w:val="000000"/>
          <w:sz w:val="16"/>
          <w:szCs w:val="16"/>
          <w:lang w:val="de-DE" w:eastAsia="de-DE"/>
        </w:rPr>
        <w:t xml:space="preserve"> (Juli 2021)</w:t>
      </w:r>
    </w:p>
    <w:p w14:paraId="26F9A8B0" w14:textId="77777777" w:rsidR="001746B9" w:rsidRPr="00170C8A" w:rsidRDefault="001746B9" w:rsidP="008D1967">
      <w:pPr>
        <w:pStyle w:val="Notedebasdepage"/>
        <w:spacing w:line="276" w:lineRule="auto"/>
        <w:rPr>
          <w:rFonts w:eastAsia="Cambria" w:cstheme="minorHAnsi"/>
          <w:color w:val="000000"/>
          <w:sz w:val="16"/>
          <w:szCs w:val="16"/>
          <w:lang w:val="de-DE" w:eastAsia="de-DE"/>
        </w:rPr>
      </w:pPr>
      <w:r w:rsidRPr="00170C8A">
        <w:rPr>
          <w:rFonts w:eastAsia="Cambria" w:cstheme="minorHAnsi"/>
          <w:color w:val="000000"/>
          <w:sz w:val="16"/>
          <w:szCs w:val="16"/>
          <w:lang w:val="de-DE" w:eastAsia="de-DE"/>
        </w:rPr>
        <w:t>https://worldpopulationreview.com/countries/tunisia-population (Juli 2021)</w:t>
      </w:r>
    </w:p>
    <w:p w14:paraId="043DC09F" w14:textId="77777777" w:rsidR="00E743F0" w:rsidRPr="00170C8A" w:rsidRDefault="00E743F0" w:rsidP="008D1967">
      <w:pPr>
        <w:spacing w:line="276" w:lineRule="auto"/>
        <w:rPr>
          <w:rFonts w:cstheme="minorHAnsi"/>
          <w:lang w:val="de-DE"/>
        </w:rPr>
      </w:pPr>
    </w:p>
    <w:p w14:paraId="618597A6" w14:textId="77777777" w:rsidR="00276CDF" w:rsidRPr="008B007A" w:rsidRDefault="00276CDF" w:rsidP="008D1967">
      <w:pPr>
        <w:spacing w:line="276" w:lineRule="auto"/>
        <w:jc w:val="both"/>
        <w:rPr>
          <w:rFonts w:cstheme="minorHAnsi"/>
          <w:lang w:val="de-DE"/>
        </w:rPr>
      </w:pPr>
      <w:r w:rsidRPr="008B007A">
        <w:rPr>
          <w:rFonts w:cstheme="minorHAnsi"/>
          <w:lang w:val="de-DE"/>
        </w:rPr>
        <w:t xml:space="preserve">Tunesien hat die Nähe zu Europa und die relativ niedrigen Arbeitskosten genutzt, um auf den Aufbau einer vielfältigen, offenen und marktorientierten Wirtschaft hinzuarbeiten. Zu den wichtigsten Wirtschaftszweigen gehören Landwirtschaft, Tourismus, Phosphate, Textilien und Bekleidung. Tunesien hat die Investitionen in seine Hafen-, Transport- und Industrieinfrastruktur erhöht, um sich als Zentrum und Vermittler für Geschäfte in Afrika zu positionieren. Strategien für die industrielle Entwicklung und Verbesserungen der Infrastruktur </w:t>
      </w:r>
      <w:r w:rsidR="00D151EB" w:rsidRPr="008B007A">
        <w:rPr>
          <w:rFonts w:cstheme="minorHAnsi"/>
          <w:lang w:val="de-DE"/>
        </w:rPr>
        <w:t>erhöhen</w:t>
      </w:r>
      <w:r w:rsidRPr="008B007A">
        <w:rPr>
          <w:rFonts w:cstheme="minorHAnsi"/>
          <w:lang w:val="de-DE"/>
        </w:rPr>
        <w:t xml:space="preserve"> die</w:t>
      </w:r>
      <w:r w:rsidR="00D151EB" w:rsidRPr="008B007A">
        <w:rPr>
          <w:rFonts w:cstheme="minorHAnsi"/>
          <w:lang w:val="de-DE"/>
        </w:rPr>
        <w:t xml:space="preserve"> Wettbewerbsfähigkeit Tunesiens u</w:t>
      </w:r>
      <w:r w:rsidRPr="008B007A">
        <w:rPr>
          <w:rFonts w:cstheme="minorHAnsi"/>
          <w:lang w:val="de-DE"/>
        </w:rPr>
        <w:t>nd ist gleichzeitig Garant für seine Scharnierfunktion zwischen Europa und Afrika</w:t>
      </w:r>
    </w:p>
    <w:p w14:paraId="7CC4C290" w14:textId="77777777" w:rsidR="00C52444" w:rsidRPr="001746B9" w:rsidRDefault="00C52444" w:rsidP="008D1967">
      <w:pPr>
        <w:pStyle w:val="Titre1"/>
        <w:spacing w:line="276" w:lineRule="auto"/>
        <w:ind w:left="851" w:hanging="284"/>
        <w:rPr>
          <w:rFonts w:asciiTheme="minorHAnsi" w:hAnsiTheme="minorHAnsi" w:cstheme="minorHAnsi"/>
          <w:lang w:val="de-DE"/>
        </w:rPr>
      </w:pPr>
      <w:bookmarkStart w:id="0" w:name="_Toc75449476"/>
      <w:bookmarkStart w:id="1" w:name="_Toc75947703"/>
      <w:bookmarkStart w:id="2" w:name="_Toc75963342"/>
      <w:r w:rsidRPr="001746B9">
        <w:rPr>
          <w:rFonts w:asciiTheme="minorHAnsi" w:hAnsiTheme="minorHAnsi" w:cstheme="minorHAnsi"/>
          <w:lang w:val="de-DE"/>
        </w:rPr>
        <w:lastRenderedPageBreak/>
        <w:t>Wasserwirtschaft in Tunesien</w:t>
      </w:r>
      <w:bookmarkEnd w:id="0"/>
      <w:bookmarkEnd w:id="1"/>
      <w:bookmarkEnd w:id="2"/>
    </w:p>
    <w:p w14:paraId="6B380774" w14:textId="77777777" w:rsidR="002E38E9" w:rsidRPr="002E38E9" w:rsidRDefault="002E38E9" w:rsidP="00F44E5A">
      <w:pPr>
        <w:spacing w:before="240" w:line="276" w:lineRule="auto"/>
        <w:jc w:val="both"/>
        <w:rPr>
          <w:b/>
          <w:bCs/>
          <w:lang w:val="de-DE"/>
        </w:rPr>
      </w:pPr>
      <w:r w:rsidRPr="002E38E9">
        <w:rPr>
          <w:lang w:val="de-DE"/>
        </w:rPr>
        <w:t>Mit</w:t>
      </w:r>
      <w:r w:rsidRPr="002E38E9">
        <w:rPr>
          <w:spacing w:val="-3"/>
          <w:lang w:val="de-DE"/>
        </w:rPr>
        <w:t xml:space="preserve"> </w:t>
      </w:r>
      <w:r w:rsidRPr="002E38E9">
        <w:rPr>
          <w:lang w:val="de-DE"/>
        </w:rPr>
        <w:t>einer</w:t>
      </w:r>
      <w:r w:rsidRPr="002E38E9">
        <w:rPr>
          <w:spacing w:val="-5"/>
          <w:lang w:val="de-DE"/>
        </w:rPr>
        <w:t xml:space="preserve"> </w:t>
      </w:r>
      <w:r w:rsidRPr="002E38E9">
        <w:rPr>
          <w:spacing w:val="-1"/>
          <w:lang w:val="de-DE"/>
        </w:rPr>
        <w:t>v</w:t>
      </w:r>
      <w:r w:rsidRPr="002E38E9">
        <w:rPr>
          <w:lang w:val="de-DE"/>
        </w:rPr>
        <w:t>e</w:t>
      </w:r>
      <w:r w:rsidRPr="002E38E9">
        <w:rPr>
          <w:spacing w:val="-1"/>
          <w:lang w:val="de-DE"/>
        </w:rPr>
        <w:t>r</w:t>
      </w:r>
      <w:r w:rsidRPr="002E38E9">
        <w:rPr>
          <w:spacing w:val="2"/>
          <w:lang w:val="de-DE"/>
        </w:rPr>
        <w:t>f</w:t>
      </w:r>
      <w:r w:rsidRPr="002E38E9">
        <w:rPr>
          <w:lang w:val="de-DE"/>
        </w:rPr>
        <w:t>ü</w:t>
      </w:r>
      <w:r w:rsidRPr="002E38E9">
        <w:rPr>
          <w:spacing w:val="-1"/>
          <w:lang w:val="de-DE"/>
        </w:rPr>
        <w:t>g</w:t>
      </w:r>
      <w:r w:rsidRPr="002E38E9">
        <w:rPr>
          <w:lang w:val="de-DE"/>
        </w:rPr>
        <w:t>ba</w:t>
      </w:r>
      <w:r w:rsidRPr="002E38E9">
        <w:rPr>
          <w:spacing w:val="-1"/>
          <w:lang w:val="de-DE"/>
        </w:rPr>
        <w:t>r</w:t>
      </w:r>
      <w:r w:rsidRPr="002E38E9">
        <w:rPr>
          <w:lang w:val="de-DE"/>
        </w:rPr>
        <w:t>en</w:t>
      </w:r>
      <w:r w:rsidRPr="002E38E9">
        <w:rPr>
          <w:spacing w:val="-8"/>
          <w:lang w:val="de-DE"/>
        </w:rPr>
        <w:t xml:space="preserve"> </w:t>
      </w:r>
      <w:r w:rsidRPr="002E38E9">
        <w:rPr>
          <w:lang w:val="de-DE"/>
        </w:rPr>
        <w:t>M</w:t>
      </w:r>
      <w:r w:rsidRPr="002E38E9">
        <w:rPr>
          <w:spacing w:val="-1"/>
          <w:lang w:val="de-DE"/>
        </w:rPr>
        <w:t>e</w:t>
      </w:r>
      <w:r w:rsidRPr="002E38E9">
        <w:rPr>
          <w:lang w:val="de-DE"/>
        </w:rPr>
        <w:t>n</w:t>
      </w:r>
      <w:r w:rsidRPr="002E38E9">
        <w:rPr>
          <w:spacing w:val="-1"/>
          <w:lang w:val="de-DE"/>
        </w:rPr>
        <w:t>g</w:t>
      </w:r>
      <w:r w:rsidRPr="002E38E9">
        <w:rPr>
          <w:lang w:val="de-DE"/>
        </w:rPr>
        <w:t>e</w:t>
      </w:r>
      <w:r w:rsidRPr="002E38E9">
        <w:rPr>
          <w:spacing w:val="-2"/>
          <w:lang w:val="de-DE"/>
        </w:rPr>
        <w:t xml:space="preserve"> </w:t>
      </w:r>
      <w:r w:rsidRPr="002E38E9">
        <w:rPr>
          <w:lang w:val="de-DE"/>
        </w:rPr>
        <w:t>von</w:t>
      </w:r>
      <w:r w:rsidRPr="002E38E9">
        <w:rPr>
          <w:spacing w:val="-2"/>
          <w:lang w:val="de-DE"/>
        </w:rPr>
        <w:t xml:space="preserve"> </w:t>
      </w:r>
      <w:r w:rsidRPr="002E38E9">
        <w:rPr>
          <w:spacing w:val="-1"/>
          <w:lang w:val="de-DE"/>
        </w:rPr>
        <w:t>n</w:t>
      </w:r>
      <w:r w:rsidRPr="002E38E9">
        <w:rPr>
          <w:lang w:val="de-DE"/>
        </w:rPr>
        <w:t>ur</w:t>
      </w:r>
      <w:r w:rsidRPr="002E38E9">
        <w:rPr>
          <w:spacing w:val="-3"/>
          <w:lang w:val="de-DE"/>
        </w:rPr>
        <w:t xml:space="preserve"> </w:t>
      </w:r>
      <w:r w:rsidRPr="002E38E9">
        <w:rPr>
          <w:spacing w:val="-1"/>
          <w:lang w:val="de-DE"/>
        </w:rPr>
        <w:t>4</w:t>
      </w:r>
      <w:r w:rsidRPr="002E38E9">
        <w:rPr>
          <w:lang w:val="de-DE"/>
        </w:rPr>
        <w:t>50</w:t>
      </w:r>
      <w:r w:rsidRPr="002E38E9">
        <w:rPr>
          <w:spacing w:val="3"/>
          <w:lang w:val="de-DE"/>
        </w:rPr>
        <w:t xml:space="preserve"> </w:t>
      </w:r>
      <w:r w:rsidRPr="002E38E9">
        <w:rPr>
          <w:spacing w:val="-1"/>
          <w:lang w:val="de-DE"/>
        </w:rPr>
        <w:t>m</w:t>
      </w:r>
      <w:r w:rsidRPr="002E38E9">
        <w:rPr>
          <w:lang w:val="de-DE"/>
        </w:rPr>
        <w:t>³</w:t>
      </w:r>
      <w:r w:rsidRPr="002E38E9">
        <w:rPr>
          <w:spacing w:val="-1"/>
          <w:lang w:val="de-DE"/>
        </w:rPr>
        <w:t xml:space="preserve"> </w:t>
      </w:r>
      <w:r w:rsidRPr="002E38E9">
        <w:rPr>
          <w:spacing w:val="-5"/>
          <w:lang w:val="de-DE"/>
        </w:rPr>
        <w:t>F</w:t>
      </w:r>
      <w:r w:rsidRPr="002E38E9">
        <w:rPr>
          <w:spacing w:val="-1"/>
          <w:lang w:val="de-DE"/>
        </w:rPr>
        <w:t>r</w:t>
      </w:r>
      <w:r w:rsidRPr="002E38E9">
        <w:rPr>
          <w:lang w:val="de-DE"/>
        </w:rPr>
        <w:t>ischwasser</w:t>
      </w:r>
      <w:r w:rsidRPr="002E38E9">
        <w:rPr>
          <w:spacing w:val="-11"/>
          <w:lang w:val="de-DE"/>
        </w:rPr>
        <w:t xml:space="preserve"> </w:t>
      </w:r>
      <w:r w:rsidRPr="002E38E9">
        <w:rPr>
          <w:lang w:val="de-DE"/>
        </w:rPr>
        <w:t>p</w:t>
      </w:r>
      <w:r w:rsidRPr="002E38E9">
        <w:rPr>
          <w:spacing w:val="-1"/>
          <w:lang w:val="de-DE"/>
        </w:rPr>
        <w:t>r</w:t>
      </w:r>
      <w:r w:rsidRPr="002E38E9">
        <w:rPr>
          <w:lang w:val="de-DE"/>
        </w:rPr>
        <w:t xml:space="preserve">o </w:t>
      </w:r>
      <w:r w:rsidRPr="002E38E9">
        <w:rPr>
          <w:spacing w:val="-1"/>
          <w:lang w:val="de-DE"/>
        </w:rPr>
        <w:t>E</w:t>
      </w:r>
      <w:r w:rsidRPr="002E38E9">
        <w:rPr>
          <w:lang w:val="de-DE"/>
        </w:rPr>
        <w:t>inwohner</w:t>
      </w:r>
      <w:r w:rsidRPr="002E38E9">
        <w:rPr>
          <w:spacing w:val="-9"/>
          <w:lang w:val="de-DE"/>
        </w:rPr>
        <w:t xml:space="preserve"> </w:t>
      </w:r>
      <w:r w:rsidRPr="002E38E9">
        <w:rPr>
          <w:spacing w:val="-1"/>
          <w:lang w:val="de-DE"/>
        </w:rPr>
        <w:t>u</w:t>
      </w:r>
      <w:r w:rsidRPr="002E38E9">
        <w:rPr>
          <w:lang w:val="de-DE"/>
        </w:rPr>
        <w:t>nd</w:t>
      </w:r>
      <w:r w:rsidRPr="002E38E9">
        <w:rPr>
          <w:spacing w:val="-4"/>
          <w:lang w:val="de-DE"/>
        </w:rPr>
        <w:t xml:space="preserve"> </w:t>
      </w:r>
      <w:r w:rsidRPr="002E38E9">
        <w:rPr>
          <w:lang w:val="de-DE"/>
        </w:rPr>
        <w:t>Jahr</w:t>
      </w:r>
      <w:r>
        <w:rPr>
          <w:rStyle w:val="Appelnotedebasdep"/>
          <w:spacing w:val="1"/>
          <w:szCs w:val="20"/>
        </w:rPr>
        <w:footnoteReference w:id="1"/>
      </w:r>
      <w:r w:rsidRPr="002E38E9">
        <w:rPr>
          <w:spacing w:val="15"/>
          <w:position w:val="7"/>
          <w:lang w:val="de-DE"/>
        </w:rPr>
        <w:t xml:space="preserve"> </w:t>
      </w:r>
      <w:r w:rsidRPr="002E38E9">
        <w:rPr>
          <w:lang w:val="de-DE"/>
        </w:rPr>
        <w:t>zählt</w:t>
      </w:r>
      <w:r w:rsidRPr="002E38E9">
        <w:rPr>
          <w:spacing w:val="-4"/>
          <w:lang w:val="de-DE"/>
        </w:rPr>
        <w:t xml:space="preserve"> </w:t>
      </w:r>
      <w:r w:rsidRPr="002E38E9">
        <w:rPr>
          <w:spacing w:val="-3"/>
          <w:lang w:val="de-DE"/>
        </w:rPr>
        <w:t>T</w:t>
      </w:r>
      <w:r w:rsidRPr="002E38E9">
        <w:rPr>
          <w:lang w:val="de-DE"/>
        </w:rPr>
        <w:t>un</w:t>
      </w:r>
      <w:r w:rsidRPr="002E38E9">
        <w:rPr>
          <w:spacing w:val="2"/>
          <w:lang w:val="de-DE"/>
        </w:rPr>
        <w:t>e</w:t>
      </w:r>
      <w:r w:rsidRPr="002E38E9">
        <w:rPr>
          <w:lang w:val="de-DE"/>
        </w:rPr>
        <w:t>sien</w:t>
      </w:r>
      <w:r w:rsidRPr="002E38E9">
        <w:rPr>
          <w:spacing w:val="-6"/>
          <w:lang w:val="de-DE"/>
        </w:rPr>
        <w:t xml:space="preserve"> </w:t>
      </w:r>
      <w:r w:rsidRPr="002E38E9">
        <w:rPr>
          <w:lang w:val="de-DE"/>
        </w:rPr>
        <w:t>zu</w:t>
      </w:r>
      <w:r w:rsidRPr="002E38E9">
        <w:rPr>
          <w:spacing w:val="-3"/>
          <w:lang w:val="de-DE"/>
        </w:rPr>
        <w:t xml:space="preserve"> </w:t>
      </w:r>
      <w:r w:rsidRPr="002E38E9">
        <w:rPr>
          <w:lang w:val="de-DE"/>
        </w:rPr>
        <w:t>den</w:t>
      </w:r>
      <w:r w:rsidRPr="002E38E9">
        <w:rPr>
          <w:spacing w:val="-2"/>
          <w:lang w:val="de-DE"/>
        </w:rPr>
        <w:t xml:space="preserve"> </w:t>
      </w:r>
      <w:r w:rsidRPr="002E38E9">
        <w:rPr>
          <w:spacing w:val="-1"/>
          <w:lang w:val="de-DE"/>
        </w:rPr>
        <w:t>v</w:t>
      </w:r>
      <w:r w:rsidRPr="002E38E9">
        <w:rPr>
          <w:lang w:val="de-DE"/>
        </w:rPr>
        <w:t>on</w:t>
      </w:r>
      <w:r w:rsidRPr="002E38E9">
        <w:rPr>
          <w:spacing w:val="-2"/>
          <w:lang w:val="de-DE"/>
        </w:rPr>
        <w:t xml:space="preserve"> absoluter </w:t>
      </w:r>
      <w:r w:rsidRPr="002E38E9">
        <w:rPr>
          <w:spacing w:val="-1"/>
          <w:lang w:val="de-DE"/>
        </w:rPr>
        <w:t>W</w:t>
      </w:r>
      <w:r w:rsidRPr="002E38E9">
        <w:rPr>
          <w:lang w:val="de-DE"/>
        </w:rPr>
        <w:t>asse</w:t>
      </w:r>
      <w:r w:rsidRPr="002E38E9">
        <w:rPr>
          <w:spacing w:val="-1"/>
          <w:lang w:val="de-DE"/>
        </w:rPr>
        <w:t>rk</w:t>
      </w:r>
      <w:r w:rsidRPr="002E38E9">
        <w:rPr>
          <w:lang w:val="de-DE"/>
        </w:rPr>
        <w:t>napph</w:t>
      </w:r>
      <w:r w:rsidRPr="002E38E9">
        <w:rPr>
          <w:spacing w:val="-3"/>
          <w:lang w:val="de-DE"/>
        </w:rPr>
        <w:t>e</w:t>
      </w:r>
      <w:r w:rsidRPr="002E38E9">
        <w:rPr>
          <w:lang w:val="de-DE"/>
        </w:rPr>
        <w:t>i</w:t>
      </w:r>
      <w:r w:rsidRPr="002E38E9">
        <w:rPr>
          <w:spacing w:val="5"/>
          <w:lang w:val="de-DE"/>
        </w:rPr>
        <w:t>t</w:t>
      </w:r>
      <w:r w:rsidRPr="002E38E9">
        <w:rPr>
          <w:position w:val="7"/>
          <w:lang w:val="de-DE"/>
        </w:rPr>
        <w:t xml:space="preserve"> </w:t>
      </w:r>
      <w:r w:rsidRPr="002E38E9">
        <w:rPr>
          <w:lang w:val="de-DE"/>
        </w:rPr>
        <w:t>bet</w:t>
      </w:r>
      <w:r w:rsidRPr="002E38E9">
        <w:rPr>
          <w:spacing w:val="-1"/>
          <w:lang w:val="de-DE"/>
        </w:rPr>
        <w:t>r</w:t>
      </w:r>
      <w:r w:rsidRPr="002E38E9">
        <w:rPr>
          <w:lang w:val="de-DE"/>
        </w:rPr>
        <w:t>o</w:t>
      </w:r>
      <w:r w:rsidRPr="002E38E9">
        <w:rPr>
          <w:spacing w:val="-1"/>
          <w:lang w:val="de-DE"/>
        </w:rPr>
        <w:t>f</w:t>
      </w:r>
      <w:r w:rsidRPr="002E38E9">
        <w:rPr>
          <w:spacing w:val="2"/>
          <w:lang w:val="de-DE"/>
        </w:rPr>
        <w:t>f</w:t>
      </w:r>
      <w:r w:rsidRPr="002E38E9">
        <w:rPr>
          <w:lang w:val="de-DE"/>
        </w:rPr>
        <w:t>enen</w:t>
      </w:r>
      <w:r w:rsidRPr="002E38E9">
        <w:rPr>
          <w:spacing w:val="-8"/>
          <w:lang w:val="de-DE"/>
        </w:rPr>
        <w:t xml:space="preserve"> </w:t>
      </w:r>
      <w:r w:rsidRPr="002E38E9">
        <w:rPr>
          <w:spacing w:val="-3"/>
          <w:lang w:val="de-DE"/>
        </w:rPr>
        <w:t>L</w:t>
      </w:r>
      <w:r w:rsidRPr="002E38E9">
        <w:rPr>
          <w:lang w:val="de-DE"/>
        </w:rPr>
        <w:t>ände</w:t>
      </w:r>
      <w:r w:rsidRPr="002E38E9">
        <w:rPr>
          <w:spacing w:val="-1"/>
          <w:lang w:val="de-DE"/>
        </w:rPr>
        <w:t>r</w:t>
      </w:r>
      <w:r w:rsidRPr="002E38E9">
        <w:rPr>
          <w:lang w:val="de-DE"/>
        </w:rPr>
        <w:t>n. Laut Schätzungen sollen im Jahr 2030 sogar nur noch 300 m</w:t>
      </w:r>
      <w:r w:rsidRPr="002E38E9">
        <w:rPr>
          <w:vertAlign w:val="superscript"/>
          <w:lang w:val="de-DE"/>
        </w:rPr>
        <w:t>3</w:t>
      </w:r>
      <w:r w:rsidRPr="002E38E9">
        <w:rPr>
          <w:lang w:val="de-DE"/>
        </w:rPr>
        <w:t xml:space="preserve"> pro Einwohner und Jahr zur Verfügung stehen.</w:t>
      </w:r>
      <w:r>
        <w:rPr>
          <w:rStyle w:val="Appelnotedebasdep"/>
          <w:spacing w:val="1"/>
          <w:szCs w:val="20"/>
        </w:rPr>
        <w:footnoteReference w:id="2"/>
      </w:r>
      <w:r w:rsidRPr="002E38E9">
        <w:rPr>
          <w:lang w:val="de-DE"/>
        </w:rPr>
        <w:t xml:space="preserve"> </w:t>
      </w:r>
      <w:proofErr w:type="gramStart"/>
      <w:r w:rsidRPr="002E38E9">
        <w:rPr>
          <w:lang w:val="de-DE"/>
        </w:rPr>
        <w:t>Rund</w:t>
      </w:r>
      <w:proofErr w:type="gramEnd"/>
      <w:r w:rsidRPr="002E38E9">
        <w:rPr>
          <w:lang w:val="de-DE"/>
        </w:rPr>
        <w:t xml:space="preserve"> 55% der Wasservorkommen werden durch </w:t>
      </w:r>
      <w:r w:rsidRPr="00254C43">
        <w:rPr>
          <w:lang w:val="de-DE"/>
        </w:rPr>
        <w:t>Oberflächengewässer bereitgestellt und sind somit von den jährlich variierenden Niederschlägen abhängig. Im Durchschnitt werden die Oberflächenwasserreserven auf 2.700 Mio. m</w:t>
      </w:r>
      <w:r w:rsidRPr="00254C43">
        <w:rPr>
          <w:vertAlign w:val="superscript"/>
          <w:lang w:val="de-DE"/>
        </w:rPr>
        <w:t>3</w:t>
      </w:r>
      <w:r w:rsidRPr="00254C43">
        <w:rPr>
          <w:lang w:val="de-DE"/>
        </w:rPr>
        <w:t xml:space="preserve"> beziffert. Der zweite Teil der natürlichen Wasservorkommen umfasst das Grundwasser aus verschiedenen Tiefen und besitzt ein Volumen von 2.175 Mio. m</w:t>
      </w:r>
      <w:r w:rsidRPr="00254C43">
        <w:rPr>
          <w:vertAlign w:val="superscript"/>
          <w:lang w:val="de-DE"/>
        </w:rPr>
        <w:t>3</w:t>
      </w:r>
      <w:r w:rsidRPr="00254C43">
        <w:rPr>
          <w:lang w:val="de-DE"/>
        </w:rPr>
        <w:t>.</w:t>
      </w:r>
      <w:r w:rsidRPr="002E38E9">
        <w:rPr>
          <w:b/>
          <w:bCs/>
          <w:lang w:val="de-DE"/>
        </w:rPr>
        <w:t xml:space="preserve"> </w:t>
      </w:r>
    </w:p>
    <w:p w14:paraId="5F82CE79" w14:textId="3B755BAC" w:rsidR="002E38E9" w:rsidRDefault="002E38E9" w:rsidP="008D1967">
      <w:pPr>
        <w:pStyle w:val="Abbildung"/>
        <w:spacing w:line="276" w:lineRule="auto"/>
      </w:pPr>
      <w:bookmarkStart w:id="3" w:name="_Toc75880145"/>
      <w:bookmarkStart w:id="4" w:name="_Toc77935279"/>
      <w:r>
        <w:t>Natürliche Wasserressourcen und ihre Mobilisierungsraten</w:t>
      </w:r>
      <w:bookmarkEnd w:id="3"/>
      <w:bookmarkEnd w:id="4"/>
    </w:p>
    <w:tbl>
      <w:tblPr>
        <w:tblStyle w:val="TableauGrille1Clair-Accentuation1"/>
        <w:tblW w:w="9510" w:type="dxa"/>
        <w:tblLayout w:type="fixed"/>
        <w:tblLook w:val="04A0" w:firstRow="1" w:lastRow="0" w:firstColumn="1" w:lastColumn="0" w:noHBand="0" w:noVBand="1"/>
      </w:tblPr>
      <w:tblGrid>
        <w:gridCol w:w="2264"/>
        <w:gridCol w:w="2128"/>
        <w:gridCol w:w="1701"/>
        <w:gridCol w:w="1417"/>
        <w:gridCol w:w="2000"/>
      </w:tblGrid>
      <w:tr w:rsidR="002E38E9" w14:paraId="022CB91D" w14:textId="77777777" w:rsidTr="002E38E9">
        <w:trPr>
          <w:cnfStyle w:val="100000000000" w:firstRow="1" w:lastRow="0" w:firstColumn="0" w:lastColumn="0" w:oddVBand="0" w:evenVBand="0" w:oddHBand="0"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BDD6EE" w:themeColor="accent1" w:themeTint="66"/>
              <w:left w:val="single" w:sz="4" w:space="0" w:color="BDD6EE" w:themeColor="accent1" w:themeTint="66"/>
              <w:right w:val="single" w:sz="4" w:space="0" w:color="BDD6EE" w:themeColor="accent1" w:themeTint="66"/>
            </w:tcBorders>
            <w:vAlign w:val="center"/>
            <w:hideMark/>
          </w:tcPr>
          <w:p w14:paraId="3837D000" w14:textId="77777777" w:rsidR="002E38E9" w:rsidRDefault="002E38E9" w:rsidP="008D1967">
            <w:pPr>
              <w:spacing w:line="276" w:lineRule="auto"/>
              <w:ind w:left="142"/>
              <w:jc w:val="center"/>
              <w:rPr>
                <w:b w:val="0"/>
                <w:bCs w:val="0"/>
                <w:sz w:val="18"/>
                <w:szCs w:val="18"/>
                <w:lang w:eastAsia="fr-FR"/>
              </w:rPr>
            </w:pPr>
            <w:r>
              <w:rPr>
                <w:sz w:val="18"/>
                <w:szCs w:val="18"/>
                <w:lang w:eastAsia="fr-FR"/>
              </w:rPr>
              <w:t>(Mio. m</w:t>
            </w:r>
            <w:r>
              <w:rPr>
                <w:sz w:val="18"/>
                <w:szCs w:val="18"/>
                <w:vertAlign w:val="superscript"/>
                <w:lang w:eastAsia="fr-FR"/>
              </w:rPr>
              <w:t>3</w:t>
            </w:r>
            <w:r>
              <w:rPr>
                <w:sz w:val="18"/>
                <w:szCs w:val="18"/>
                <w:lang w:eastAsia="fr-FR"/>
              </w:rPr>
              <w:t>)</w:t>
            </w:r>
          </w:p>
        </w:tc>
        <w:tc>
          <w:tcPr>
            <w:tcW w:w="2127" w:type="dxa"/>
            <w:tcBorders>
              <w:top w:val="single" w:sz="4" w:space="0" w:color="BDD6EE" w:themeColor="accent1" w:themeTint="66"/>
              <w:left w:val="single" w:sz="4" w:space="0" w:color="BDD6EE" w:themeColor="accent1" w:themeTint="66"/>
              <w:right w:val="single" w:sz="4" w:space="0" w:color="BDD6EE" w:themeColor="accent1" w:themeTint="66"/>
            </w:tcBorders>
            <w:vAlign w:val="center"/>
            <w:hideMark/>
          </w:tcPr>
          <w:p w14:paraId="503353E2" w14:textId="77777777" w:rsidR="002E38E9" w:rsidRDefault="002E38E9" w:rsidP="008D1967">
            <w:pPr>
              <w:spacing w:line="276" w:lineRule="auto"/>
              <w:ind w:left="142"/>
              <w:jc w:val="center"/>
              <w:cnfStyle w:val="100000000000" w:firstRow="1" w:lastRow="0" w:firstColumn="0" w:lastColumn="0" w:oddVBand="0" w:evenVBand="0" w:oddHBand="0" w:evenHBand="0" w:firstRowFirstColumn="0" w:firstRowLastColumn="0" w:lastRowFirstColumn="0" w:lastRowLastColumn="0"/>
              <w:rPr>
                <w:b w:val="0"/>
                <w:bCs w:val="0"/>
                <w:sz w:val="18"/>
                <w:szCs w:val="18"/>
                <w:lang w:eastAsia="fr-FR"/>
              </w:rPr>
            </w:pPr>
            <w:r>
              <w:rPr>
                <w:sz w:val="18"/>
                <w:szCs w:val="18"/>
                <w:lang w:eastAsia="fr-FR"/>
              </w:rPr>
              <w:t>Wasservorkommen</w:t>
            </w:r>
          </w:p>
        </w:tc>
        <w:tc>
          <w:tcPr>
            <w:tcW w:w="1701" w:type="dxa"/>
            <w:tcBorders>
              <w:top w:val="single" w:sz="4" w:space="0" w:color="BDD6EE" w:themeColor="accent1" w:themeTint="66"/>
              <w:left w:val="single" w:sz="4" w:space="0" w:color="BDD6EE" w:themeColor="accent1" w:themeTint="66"/>
              <w:right w:val="single" w:sz="4" w:space="0" w:color="BDD6EE" w:themeColor="accent1" w:themeTint="66"/>
            </w:tcBorders>
            <w:vAlign w:val="center"/>
            <w:hideMark/>
          </w:tcPr>
          <w:p w14:paraId="5C25F4AB" w14:textId="77777777" w:rsidR="002E38E9" w:rsidRDefault="002E38E9" w:rsidP="008D1967">
            <w:pPr>
              <w:spacing w:line="276" w:lineRule="auto"/>
              <w:ind w:left="142"/>
              <w:jc w:val="center"/>
              <w:cnfStyle w:val="100000000000" w:firstRow="1" w:lastRow="0" w:firstColumn="0" w:lastColumn="0" w:oddVBand="0" w:evenVBand="0" w:oddHBand="0" w:evenHBand="0" w:firstRowFirstColumn="0" w:firstRowLastColumn="0" w:lastRowFirstColumn="0" w:lastRowLastColumn="0"/>
              <w:rPr>
                <w:b w:val="0"/>
                <w:bCs w:val="0"/>
                <w:sz w:val="18"/>
                <w:szCs w:val="18"/>
                <w:lang w:eastAsia="fr-FR"/>
              </w:rPr>
            </w:pPr>
            <w:r>
              <w:rPr>
                <w:sz w:val="18"/>
                <w:szCs w:val="18"/>
                <w:lang w:eastAsia="fr-FR"/>
              </w:rPr>
              <w:t>Mobilisierungs-potenzial</w:t>
            </w:r>
          </w:p>
        </w:tc>
        <w:tc>
          <w:tcPr>
            <w:tcW w:w="1417" w:type="dxa"/>
            <w:tcBorders>
              <w:top w:val="single" w:sz="4" w:space="0" w:color="BDD6EE" w:themeColor="accent1" w:themeTint="66"/>
              <w:left w:val="single" w:sz="4" w:space="0" w:color="BDD6EE" w:themeColor="accent1" w:themeTint="66"/>
              <w:right w:val="single" w:sz="4" w:space="0" w:color="BDD6EE" w:themeColor="accent1" w:themeTint="66"/>
            </w:tcBorders>
            <w:vAlign w:val="center"/>
            <w:hideMark/>
          </w:tcPr>
          <w:p w14:paraId="37282FB8" w14:textId="77777777" w:rsidR="002E38E9" w:rsidRDefault="002E38E9" w:rsidP="008D1967">
            <w:pPr>
              <w:spacing w:line="276" w:lineRule="auto"/>
              <w:ind w:left="142"/>
              <w:jc w:val="center"/>
              <w:cnfStyle w:val="100000000000" w:firstRow="1" w:lastRow="0" w:firstColumn="0" w:lastColumn="0" w:oddVBand="0" w:evenVBand="0" w:oddHBand="0" w:evenHBand="0" w:firstRowFirstColumn="0" w:firstRowLastColumn="0" w:lastRowFirstColumn="0" w:lastRowLastColumn="0"/>
              <w:rPr>
                <w:b w:val="0"/>
                <w:bCs w:val="0"/>
                <w:sz w:val="18"/>
                <w:szCs w:val="18"/>
                <w:lang w:eastAsia="fr-FR"/>
              </w:rPr>
            </w:pPr>
            <w:r>
              <w:rPr>
                <w:sz w:val="18"/>
                <w:szCs w:val="18"/>
                <w:lang w:eastAsia="fr-FR"/>
              </w:rPr>
              <w:t>Mobilisiert</w:t>
            </w:r>
          </w:p>
        </w:tc>
        <w:tc>
          <w:tcPr>
            <w:tcW w:w="2000" w:type="dxa"/>
            <w:tcBorders>
              <w:top w:val="single" w:sz="4" w:space="0" w:color="BDD6EE" w:themeColor="accent1" w:themeTint="66"/>
              <w:left w:val="single" w:sz="4" w:space="0" w:color="BDD6EE" w:themeColor="accent1" w:themeTint="66"/>
              <w:right w:val="single" w:sz="4" w:space="0" w:color="BDD6EE" w:themeColor="accent1" w:themeTint="66"/>
            </w:tcBorders>
            <w:vAlign w:val="center"/>
            <w:hideMark/>
          </w:tcPr>
          <w:p w14:paraId="1BBB7964" w14:textId="77777777" w:rsidR="002E38E9" w:rsidRDefault="002E38E9" w:rsidP="008D1967">
            <w:pPr>
              <w:spacing w:line="276" w:lineRule="auto"/>
              <w:ind w:left="142"/>
              <w:jc w:val="center"/>
              <w:cnfStyle w:val="100000000000" w:firstRow="1" w:lastRow="0" w:firstColumn="0" w:lastColumn="0" w:oddVBand="0" w:evenVBand="0" w:oddHBand="0" w:evenHBand="0" w:firstRowFirstColumn="0" w:firstRowLastColumn="0" w:lastRowFirstColumn="0" w:lastRowLastColumn="0"/>
              <w:rPr>
                <w:b w:val="0"/>
                <w:bCs w:val="0"/>
                <w:sz w:val="18"/>
                <w:szCs w:val="18"/>
                <w:lang w:eastAsia="fr-FR"/>
              </w:rPr>
            </w:pPr>
            <w:r>
              <w:rPr>
                <w:sz w:val="18"/>
                <w:szCs w:val="18"/>
                <w:lang w:eastAsia="fr-FR"/>
              </w:rPr>
              <w:t>Mobilisierungsrate</w:t>
            </w:r>
          </w:p>
        </w:tc>
      </w:tr>
      <w:tr w:rsidR="002E38E9" w14:paraId="34D426BD" w14:textId="77777777" w:rsidTr="002E38E9">
        <w:trPr>
          <w:trHeight w:val="371"/>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08C64177" w14:textId="77777777" w:rsidR="002E38E9" w:rsidRDefault="002E38E9" w:rsidP="008D1967">
            <w:pPr>
              <w:spacing w:line="276" w:lineRule="auto"/>
              <w:ind w:left="142"/>
              <w:rPr>
                <w:b w:val="0"/>
                <w:bCs w:val="0"/>
                <w:sz w:val="18"/>
                <w:szCs w:val="18"/>
                <w:lang w:eastAsia="fr-FR"/>
              </w:rPr>
            </w:pPr>
            <w:r>
              <w:rPr>
                <w:sz w:val="18"/>
                <w:szCs w:val="18"/>
                <w:lang w:eastAsia="fr-FR"/>
              </w:rPr>
              <w:t>Oberflächengewässer</w:t>
            </w:r>
          </w:p>
        </w:tc>
        <w:tc>
          <w:tcPr>
            <w:tcW w:w="212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38CA20FD" w14:textId="77777777" w:rsidR="002E38E9" w:rsidRDefault="002E38E9" w:rsidP="008D1967">
            <w:pPr>
              <w:spacing w:line="276" w:lineRule="auto"/>
              <w:ind w:left="142"/>
              <w:jc w:val="center"/>
              <w:cnfStyle w:val="000000000000" w:firstRow="0" w:lastRow="0" w:firstColumn="0" w:lastColumn="0" w:oddVBand="0" w:evenVBand="0" w:oddHBand="0" w:evenHBand="0" w:firstRowFirstColumn="0" w:firstRowLastColumn="0" w:lastRowFirstColumn="0" w:lastRowLastColumn="0"/>
              <w:rPr>
                <w:sz w:val="18"/>
                <w:szCs w:val="18"/>
                <w:lang w:eastAsia="fr-FR"/>
              </w:rPr>
            </w:pPr>
            <w:r>
              <w:rPr>
                <w:sz w:val="18"/>
                <w:szCs w:val="18"/>
                <w:lang w:eastAsia="fr-FR"/>
              </w:rPr>
              <w:t>2.700</w:t>
            </w:r>
          </w:p>
        </w:tc>
        <w:tc>
          <w:tcPr>
            <w:tcW w:w="17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3D606191" w14:textId="77777777" w:rsidR="002E38E9" w:rsidRDefault="002E38E9" w:rsidP="008D1967">
            <w:pPr>
              <w:spacing w:line="276" w:lineRule="auto"/>
              <w:ind w:left="142"/>
              <w:jc w:val="center"/>
              <w:cnfStyle w:val="000000000000" w:firstRow="0" w:lastRow="0" w:firstColumn="0" w:lastColumn="0" w:oddVBand="0" w:evenVBand="0" w:oddHBand="0" w:evenHBand="0" w:firstRowFirstColumn="0" w:firstRowLastColumn="0" w:lastRowFirstColumn="0" w:lastRowLastColumn="0"/>
              <w:rPr>
                <w:sz w:val="18"/>
                <w:szCs w:val="18"/>
                <w:lang w:eastAsia="fr-FR"/>
              </w:rPr>
            </w:pPr>
            <w:r>
              <w:rPr>
                <w:sz w:val="18"/>
                <w:szCs w:val="18"/>
                <w:lang w:eastAsia="fr-FR"/>
              </w:rPr>
              <w:t>2.500</w:t>
            </w:r>
          </w:p>
        </w:tc>
        <w:tc>
          <w:tcPr>
            <w:tcW w:w="141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358BD629" w14:textId="77777777" w:rsidR="002E38E9" w:rsidRDefault="002E38E9" w:rsidP="008D1967">
            <w:pPr>
              <w:spacing w:line="276" w:lineRule="auto"/>
              <w:ind w:left="142"/>
              <w:jc w:val="center"/>
              <w:cnfStyle w:val="000000000000" w:firstRow="0" w:lastRow="0" w:firstColumn="0" w:lastColumn="0" w:oddVBand="0" w:evenVBand="0" w:oddHBand="0" w:evenHBand="0" w:firstRowFirstColumn="0" w:firstRowLastColumn="0" w:lastRowFirstColumn="0" w:lastRowLastColumn="0"/>
              <w:rPr>
                <w:sz w:val="18"/>
                <w:szCs w:val="18"/>
                <w:lang w:eastAsia="fr-FR"/>
              </w:rPr>
            </w:pPr>
            <w:r>
              <w:rPr>
                <w:sz w:val="18"/>
                <w:szCs w:val="18"/>
                <w:lang w:eastAsia="fr-FR"/>
              </w:rPr>
              <w:t>2.500</w:t>
            </w:r>
          </w:p>
        </w:tc>
        <w:tc>
          <w:tcPr>
            <w:tcW w:w="200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50A3BE9B" w14:textId="77777777" w:rsidR="002E38E9" w:rsidRDefault="002E38E9" w:rsidP="008D1967">
            <w:pPr>
              <w:spacing w:line="276" w:lineRule="auto"/>
              <w:ind w:left="142"/>
              <w:jc w:val="center"/>
              <w:cnfStyle w:val="000000000000" w:firstRow="0" w:lastRow="0" w:firstColumn="0" w:lastColumn="0" w:oddVBand="0" w:evenVBand="0" w:oddHBand="0" w:evenHBand="0" w:firstRowFirstColumn="0" w:firstRowLastColumn="0" w:lastRowFirstColumn="0" w:lastRowLastColumn="0"/>
              <w:rPr>
                <w:sz w:val="18"/>
                <w:szCs w:val="18"/>
                <w:lang w:eastAsia="fr-FR"/>
              </w:rPr>
            </w:pPr>
            <w:r>
              <w:rPr>
                <w:sz w:val="18"/>
                <w:szCs w:val="18"/>
                <w:lang w:eastAsia="fr-FR"/>
              </w:rPr>
              <w:t>100%</w:t>
            </w:r>
          </w:p>
        </w:tc>
      </w:tr>
      <w:tr w:rsidR="002E38E9" w14:paraId="4D248FE8" w14:textId="77777777" w:rsidTr="002E38E9">
        <w:trPr>
          <w:trHeight w:val="325"/>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49DEDFC0" w14:textId="77777777" w:rsidR="002E38E9" w:rsidRDefault="002E38E9" w:rsidP="008D1967">
            <w:pPr>
              <w:spacing w:line="276" w:lineRule="auto"/>
              <w:ind w:left="142"/>
              <w:rPr>
                <w:b w:val="0"/>
                <w:bCs w:val="0"/>
                <w:sz w:val="18"/>
                <w:szCs w:val="18"/>
                <w:lang w:eastAsia="fr-FR"/>
              </w:rPr>
            </w:pPr>
            <w:r>
              <w:rPr>
                <w:sz w:val="18"/>
                <w:szCs w:val="18"/>
                <w:lang w:eastAsia="fr-FR"/>
              </w:rPr>
              <w:t>Grundwasser</w:t>
            </w:r>
          </w:p>
        </w:tc>
        <w:tc>
          <w:tcPr>
            <w:tcW w:w="212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063AA058" w14:textId="77777777" w:rsidR="002E38E9" w:rsidRDefault="002E38E9" w:rsidP="008D1967">
            <w:pPr>
              <w:spacing w:line="276" w:lineRule="auto"/>
              <w:ind w:left="142"/>
              <w:jc w:val="center"/>
              <w:cnfStyle w:val="000000000000" w:firstRow="0" w:lastRow="0" w:firstColumn="0" w:lastColumn="0" w:oddVBand="0" w:evenVBand="0" w:oddHBand="0" w:evenHBand="0" w:firstRowFirstColumn="0" w:firstRowLastColumn="0" w:lastRowFirstColumn="0" w:lastRowLastColumn="0"/>
              <w:rPr>
                <w:sz w:val="18"/>
                <w:szCs w:val="18"/>
                <w:lang w:eastAsia="fr-FR"/>
              </w:rPr>
            </w:pPr>
            <w:r>
              <w:rPr>
                <w:sz w:val="18"/>
                <w:szCs w:val="18"/>
                <w:lang w:eastAsia="fr-FR"/>
              </w:rPr>
              <w:t>746</w:t>
            </w:r>
          </w:p>
        </w:tc>
        <w:tc>
          <w:tcPr>
            <w:tcW w:w="17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12261069" w14:textId="77777777" w:rsidR="002E38E9" w:rsidRDefault="002E38E9" w:rsidP="008D1967">
            <w:pPr>
              <w:spacing w:line="276" w:lineRule="auto"/>
              <w:ind w:left="142"/>
              <w:jc w:val="center"/>
              <w:cnfStyle w:val="000000000000" w:firstRow="0" w:lastRow="0" w:firstColumn="0" w:lastColumn="0" w:oddVBand="0" w:evenVBand="0" w:oddHBand="0" w:evenHBand="0" w:firstRowFirstColumn="0" w:firstRowLastColumn="0" w:lastRowFirstColumn="0" w:lastRowLastColumn="0"/>
              <w:rPr>
                <w:sz w:val="18"/>
                <w:szCs w:val="18"/>
                <w:lang w:eastAsia="fr-FR"/>
              </w:rPr>
            </w:pPr>
            <w:r>
              <w:rPr>
                <w:sz w:val="18"/>
                <w:szCs w:val="18"/>
                <w:lang w:eastAsia="fr-FR"/>
              </w:rPr>
              <w:t>746</w:t>
            </w:r>
          </w:p>
        </w:tc>
        <w:tc>
          <w:tcPr>
            <w:tcW w:w="141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595047B6" w14:textId="77777777" w:rsidR="002E38E9" w:rsidRDefault="002E38E9" w:rsidP="008D1967">
            <w:pPr>
              <w:spacing w:line="276" w:lineRule="auto"/>
              <w:ind w:left="142"/>
              <w:jc w:val="center"/>
              <w:cnfStyle w:val="000000000000" w:firstRow="0" w:lastRow="0" w:firstColumn="0" w:lastColumn="0" w:oddVBand="0" w:evenVBand="0" w:oddHBand="0" w:evenHBand="0" w:firstRowFirstColumn="0" w:firstRowLastColumn="0" w:lastRowFirstColumn="0" w:lastRowLastColumn="0"/>
              <w:rPr>
                <w:sz w:val="18"/>
                <w:szCs w:val="18"/>
                <w:lang w:eastAsia="fr-FR"/>
              </w:rPr>
            </w:pPr>
            <w:r>
              <w:rPr>
                <w:sz w:val="18"/>
                <w:szCs w:val="18"/>
                <w:lang w:eastAsia="fr-FR"/>
              </w:rPr>
              <w:t>903</w:t>
            </w:r>
          </w:p>
        </w:tc>
        <w:tc>
          <w:tcPr>
            <w:tcW w:w="200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77DBFA77" w14:textId="77777777" w:rsidR="002E38E9" w:rsidRDefault="002E38E9" w:rsidP="008D1967">
            <w:pPr>
              <w:spacing w:line="276" w:lineRule="auto"/>
              <w:ind w:left="142"/>
              <w:jc w:val="center"/>
              <w:cnfStyle w:val="000000000000" w:firstRow="0" w:lastRow="0" w:firstColumn="0" w:lastColumn="0" w:oddVBand="0" w:evenVBand="0" w:oddHBand="0" w:evenHBand="0" w:firstRowFirstColumn="0" w:firstRowLastColumn="0" w:lastRowFirstColumn="0" w:lastRowLastColumn="0"/>
              <w:rPr>
                <w:sz w:val="18"/>
                <w:szCs w:val="18"/>
                <w:lang w:eastAsia="fr-FR"/>
              </w:rPr>
            </w:pPr>
            <w:r>
              <w:rPr>
                <w:sz w:val="18"/>
                <w:szCs w:val="18"/>
                <w:lang w:eastAsia="fr-FR"/>
              </w:rPr>
              <w:t>121%</w:t>
            </w:r>
          </w:p>
        </w:tc>
      </w:tr>
      <w:tr w:rsidR="002E38E9" w14:paraId="3E0F247E" w14:textId="77777777" w:rsidTr="002E38E9">
        <w:trPr>
          <w:trHeight w:val="63"/>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0EB187AF" w14:textId="77777777" w:rsidR="002E38E9" w:rsidRDefault="002E38E9" w:rsidP="008D1967">
            <w:pPr>
              <w:spacing w:line="276" w:lineRule="auto"/>
              <w:ind w:left="142"/>
              <w:rPr>
                <w:b w:val="0"/>
                <w:bCs w:val="0"/>
                <w:sz w:val="18"/>
                <w:szCs w:val="18"/>
                <w:lang w:eastAsia="fr-FR"/>
              </w:rPr>
            </w:pPr>
            <w:r>
              <w:rPr>
                <w:sz w:val="18"/>
                <w:szCs w:val="18"/>
                <w:lang w:eastAsia="fr-FR"/>
              </w:rPr>
              <w:t>Tiefes Grundwasser</w:t>
            </w:r>
          </w:p>
        </w:tc>
        <w:tc>
          <w:tcPr>
            <w:tcW w:w="212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4BAEF43A" w14:textId="77777777" w:rsidR="002E38E9" w:rsidRDefault="002E38E9" w:rsidP="008D1967">
            <w:pPr>
              <w:spacing w:line="276" w:lineRule="auto"/>
              <w:ind w:left="142"/>
              <w:jc w:val="center"/>
              <w:cnfStyle w:val="000000000000" w:firstRow="0" w:lastRow="0" w:firstColumn="0" w:lastColumn="0" w:oddVBand="0" w:evenVBand="0" w:oddHBand="0" w:evenHBand="0" w:firstRowFirstColumn="0" w:firstRowLastColumn="0" w:lastRowFirstColumn="0" w:lastRowLastColumn="0"/>
              <w:rPr>
                <w:sz w:val="18"/>
                <w:szCs w:val="18"/>
                <w:lang w:eastAsia="fr-FR"/>
              </w:rPr>
            </w:pPr>
            <w:r>
              <w:rPr>
                <w:sz w:val="18"/>
                <w:szCs w:val="18"/>
                <w:lang w:eastAsia="fr-FR"/>
              </w:rPr>
              <w:t>1.429</w:t>
            </w:r>
          </w:p>
        </w:tc>
        <w:tc>
          <w:tcPr>
            <w:tcW w:w="17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11DC42FE" w14:textId="77777777" w:rsidR="002E38E9" w:rsidRDefault="002E38E9" w:rsidP="008D1967">
            <w:pPr>
              <w:spacing w:line="276" w:lineRule="auto"/>
              <w:ind w:left="142"/>
              <w:jc w:val="center"/>
              <w:cnfStyle w:val="000000000000" w:firstRow="0" w:lastRow="0" w:firstColumn="0" w:lastColumn="0" w:oddVBand="0" w:evenVBand="0" w:oddHBand="0" w:evenHBand="0" w:firstRowFirstColumn="0" w:firstRowLastColumn="0" w:lastRowFirstColumn="0" w:lastRowLastColumn="0"/>
              <w:rPr>
                <w:sz w:val="18"/>
                <w:szCs w:val="18"/>
                <w:lang w:eastAsia="fr-FR"/>
              </w:rPr>
            </w:pPr>
            <w:r>
              <w:rPr>
                <w:sz w:val="18"/>
                <w:szCs w:val="18"/>
                <w:lang w:eastAsia="fr-FR"/>
              </w:rPr>
              <w:t>1.429</w:t>
            </w:r>
          </w:p>
        </w:tc>
        <w:tc>
          <w:tcPr>
            <w:tcW w:w="141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4A02CFA8" w14:textId="77777777" w:rsidR="002E38E9" w:rsidRDefault="002E38E9" w:rsidP="008D1967">
            <w:pPr>
              <w:spacing w:line="276" w:lineRule="auto"/>
              <w:ind w:left="142"/>
              <w:jc w:val="center"/>
              <w:cnfStyle w:val="000000000000" w:firstRow="0" w:lastRow="0" w:firstColumn="0" w:lastColumn="0" w:oddVBand="0" w:evenVBand="0" w:oddHBand="0" w:evenHBand="0" w:firstRowFirstColumn="0" w:firstRowLastColumn="0" w:lastRowFirstColumn="0" w:lastRowLastColumn="0"/>
              <w:rPr>
                <w:sz w:val="18"/>
                <w:szCs w:val="18"/>
                <w:lang w:eastAsia="fr-FR"/>
              </w:rPr>
            </w:pPr>
            <w:r>
              <w:rPr>
                <w:sz w:val="18"/>
                <w:szCs w:val="18"/>
                <w:lang w:eastAsia="fr-FR"/>
              </w:rPr>
              <w:t>1.705</w:t>
            </w:r>
          </w:p>
        </w:tc>
        <w:tc>
          <w:tcPr>
            <w:tcW w:w="200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68E54183" w14:textId="77777777" w:rsidR="002E38E9" w:rsidRDefault="002E38E9" w:rsidP="008D1967">
            <w:pPr>
              <w:spacing w:line="276" w:lineRule="auto"/>
              <w:ind w:left="142"/>
              <w:jc w:val="center"/>
              <w:cnfStyle w:val="000000000000" w:firstRow="0" w:lastRow="0" w:firstColumn="0" w:lastColumn="0" w:oddVBand="0" w:evenVBand="0" w:oddHBand="0" w:evenHBand="0" w:firstRowFirstColumn="0" w:firstRowLastColumn="0" w:lastRowFirstColumn="0" w:lastRowLastColumn="0"/>
              <w:rPr>
                <w:sz w:val="18"/>
                <w:szCs w:val="18"/>
                <w:lang w:eastAsia="fr-FR"/>
              </w:rPr>
            </w:pPr>
            <w:r>
              <w:rPr>
                <w:sz w:val="18"/>
                <w:szCs w:val="18"/>
                <w:lang w:eastAsia="fr-FR"/>
              </w:rPr>
              <w:t>119%</w:t>
            </w:r>
          </w:p>
        </w:tc>
      </w:tr>
      <w:tr w:rsidR="002E38E9" w14:paraId="2E9F0DBF" w14:textId="77777777" w:rsidTr="002E38E9">
        <w:trPr>
          <w:trHeight w:val="325"/>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65F7D0CF" w14:textId="77777777" w:rsidR="002E38E9" w:rsidRDefault="002E38E9" w:rsidP="008D1967">
            <w:pPr>
              <w:spacing w:line="276" w:lineRule="auto"/>
              <w:ind w:left="142"/>
              <w:rPr>
                <w:b w:val="0"/>
                <w:bCs w:val="0"/>
                <w:sz w:val="18"/>
                <w:szCs w:val="18"/>
                <w:lang w:eastAsia="fr-FR"/>
              </w:rPr>
            </w:pPr>
            <w:r>
              <w:rPr>
                <w:sz w:val="18"/>
                <w:szCs w:val="18"/>
                <w:lang w:eastAsia="fr-FR"/>
              </w:rPr>
              <w:t>Gesamt</w:t>
            </w:r>
          </w:p>
        </w:tc>
        <w:tc>
          <w:tcPr>
            <w:tcW w:w="212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6F1289A3" w14:textId="77777777" w:rsidR="002E38E9" w:rsidRDefault="002E38E9" w:rsidP="008D1967">
            <w:pPr>
              <w:spacing w:line="276" w:lineRule="auto"/>
              <w:ind w:left="142"/>
              <w:jc w:val="center"/>
              <w:cnfStyle w:val="000000000000" w:firstRow="0" w:lastRow="0" w:firstColumn="0" w:lastColumn="0" w:oddVBand="0" w:evenVBand="0" w:oddHBand="0" w:evenHBand="0" w:firstRowFirstColumn="0" w:firstRowLastColumn="0" w:lastRowFirstColumn="0" w:lastRowLastColumn="0"/>
              <w:rPr>
                <w:sz w:val="18"/>
                <w:szCs w:val="18"/>
                <w:lang w:eastAsia="fr-FR"/>
              </w:rPr>
            </w:pPr>
            <w:r>
              <w:rPr>
                <w:sz w:val="18"/>
                <w:szCs w:val="18"/>
                <w:lang w:eastAsia="fr-FR"/>
              </w:rPr>
              <w:t>4.875</w:t>
            </w:r>
          </w:p>
        </w:tc>
        <w:tc>
          <w:tcPr>
            <w:tcW w:w="17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35371665" w14:textId="77777777" w:rsidR="002E38E9" w:rsidRDefault="002E38E9" w:rsidP="008D1967">
            <w:pPr>
              <w:spacing w:line="276" w:lineRule="auto"/>
              <w:ind w:left="142"/>
              <w:jc w:val="center"/>
              <w:cnfStyle w:val="000000000000" w:firstRow="0" w:lastRow="0" w:firstColumn="0" w:lastColumn="0" w:oddVBand="0" w:evenVBand="0" w:oddHBand="0" w:evenHBand="0" w:firstRowFirstColumn="0" w:firstRowLastColumn="0" w:lastRowFirstColumn="0" w:lastRowLastColumn="0"/>
              <w:rPr>
                <w:sz w:val="18"/>
                <w:szCs w:val="18"/>
                <w:lang w:eastAsia="fr-FR"/>
              </w:rPr>
            </w:pPr>
            <w:r>
              <w:rPr>
                <w:sz w:val="18"/>
                <w:szCs w:val="18"/>
                <w:lang w:eastAsia="fr-FR"/>
              </w:rPr>
              <w:t>4.675</w:t>
            </w:r>
          </w:p>
        </w:tc>
        <w:tc>
          <w:tcPr>
            <w:tcW w:w="141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1D62F4FD" w14:textId="77777777" w:rsidR="002E38E9" w:rsidRDefault="002E38E9" w:rsidP="008D1967">
            <w:pPr>
              <w:spacing w:line="276" w:lineRule="auto"/>
              <w:ind w:left="142"/>
              <w:jc w:val="center"/>
              <w:cnfStyle w:val="000000000000" w:firstRow="0" w:lastRow="0" w:firstColumn="0" w:lastColumn="0" w:oddVBand="0" w:evenVBand="0" w:oddHBand="0" w:evenHBand="0" w:firstRowFirstColumn="0" w:firstRowLastColumn="0" w:lastRowFirstColumn="0" w:lastRowLastColumn="0"/>
              <w:rPr>
                <w:sz w:val="18"/>
                <w:szCs w:val="18"/>
                <w:lang w:eastAsia="fr-FR"/>
              </w:rPr>
            </w:pPr>
            <w:r>
              <w:rPr>
                <w:sz w:val="18"/>
                <w:szCs w:val="18"/>
                <w:lang w:eastAsia="fr-FR"/>
              </w:rPr>
              <w:t>5.108</w:t>
            </w:r>
          </w:p>
        </w:tc>
        <w:tc>
          <w:tcPr>
            <w:tcW w:w="200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14:paraId="785D4EA5" w14:textId="77777777" w:rsidR="002E38E9" w:rsidRDefault="002E38E9" w:rsidP="008D1967">
            <w:pPr>
              <w:spacing w:line="276" w:lineRule="auto"/>
              <w:ind w:left="142"/>
              <w:jc w:val="center"/>
              <w:cnfStyle w:val="000000000000" w:firstRow="0" w:lastRow="0" w:firstColumn="0" w:lastColumn="0" w:oddVBand="0" w:evenVBand="0" w:oddHBand="0" w:evenHBand="0" w:firstRowFirstColumn="0" w:firstRowLastColumn="0" w:lastRowFirstColumn="0" w:lastRowLastColumn="0"/>
              <w:rPr>
                <w:sz w:val="18"/>
                <w:szCs w:val="18"/>
                <w:lang w:eastAsia="fr-FR"/>
              </w:rPr>
            </w:pPr>
            <w:r>
              <w:rPr>
                <w:sz w:val="18"/>
                <w:szCs w:val="18"/>
                <w:lang w:eastAsia="fr-FR"/>
              </w:rPr>
              <w:t>109%</w:t>
            </w:r>
          </w:p>
        </w:tc>
      </w:tr>
    </w:tbl>
    <w:p w14:paraId="5B742E4B" w14:textId="77777777" w:rsidR="002E38E9" w:rsidRPr="00B61D68" w:rsidRDefault="002E38E9" w:rsidP="008D1967">
      <w:pPr>
        <w:spacing w:line="276" w:lineRule="auto"/>
        <w:rPr>
          <w:rFonts w:eastAsia="MS Mincho" w:cs="Times New Roman"/>
          <w:szCs w:val="20"/>
          <w:lang w:val="de-DE"/>
        </w:rPr>
      </w:pPr>
    </w:p>
    <w:p w14:paraId="420C3CE2" w14:textId="07468DD9" w:rsidR="00E614F4" w:rsidRDefault="00B61D68" w:rsidP="00F44E5A">
      <w:pPr>
        <w:spacing w:after="240" w:line="276" w:lineRule="auto"/>
        <w:jc w:val="both"/>
        <w:rPr>
          <w:szCs w:val="20"/>
          <w:lang w:val="de-DE"/>
        </w:rPr>
      </w:pPr>
      <w:r>
        <w:rPr>
          <w:szCs w:val="20"/>
          <w:lang w:val="de-DE"/>
        </w:rPr>
        <w:t>Im Jahr 2019 wurden 479,4 Mio</w:t>
      </w:r>
      <w:r w:rsidR="002F48DD">
        <w:rPr>
          <w:szCs w:val="20"/>
          <w:lang w:val="de-DE"/>
        </w:rPr>
        <w:t>.</w:t>
      </w:r>
      <w:r>
        <w:rPr>
          <w:szCs w:val="20"/>
          <w:lang w:val="de-DE"/>
        </w:rPr>
        <w:t xml:space="preserve"> m³ Wasser verbraucht, mit steigender Tendenz. Der Löwenanteil entfiel dabei auf angeschlossene Privathaushalte mit 78%, nicht angeschlossene Haushalte verbrauchten nur 3% des Gesamtverbrauchs. Öffentliche Einrichtungen verbrauchten 10,6%, Industrie 4,8% und Tourismus 3,3% des berechneten Wasserverbrauchs. </w:t>
      </w:r>
    </w:p>
    <w:p w14:paraId="1320D7BA" w14:textId="65B09335" w:rsidR="002E38E9" w:rsidRPr="002E38E9" w:rsidRDefault="002E38E9" w:rsidP="00F44E5A">
      <w:pPr>
        <w:spacing w:after="240" w:line="276" w:lineRule="auto"/>
        <w:jc w:val="both"/>
        <w:rPr>
          <w:szCs w:val="20"/>
          <w:lang w:val="de-DE"/>
        </w:rPr>
      </w:pPr>
      <w:r w:rsidRPr="002E38E9">
        <w:rPr>
          <w:szCs w:val="20"/>
          <w:lang w:val="de-DE"/>
        </w:rPr>
        <w:t xml:space="preserve">Die Wasservorkommen Tunesiens sind ungleich zwischen den unterschiedlichen Regionen und </w:t>
      </w:r>
      <w:proofErr w:type="spellStart"/>
      <w:r w:rsidRPr="002E38E9">
        <w:rPr>
          <w:szCs w:val="20"/>
          <w:lang w:val="de-DE"/>
        </w:rPr>
        <w:t>Gouvernoraten</w:t>
      </w:r>
      <w:proofErr w:type="spellEnd"/>
      <w:r w:rsidRPr="002E38E9">
        <w:rPr>
          <w:szCs w:val="20"/>
          <w:lang w:val="de-DE"/>
        </w:rPr>
        <w:t xml:space="preserve"> verteilt. </w:t>
      </w:r>
      <w:r w:rsidRPr="002E38E9">
        <w:rPr>
          <w:lang w:val="de-DE"/>
        </w:rPr>
        <w:t>Die Wassereinzugsgebiete der Flüsse im Norden Tunesiens stellen etwa 82% der gesamten Oberflächenwasserressourcen dar und bilden zusammen mit ihren Grundwasservorkommen die bei weitem wichtigste Wasserquelle des Landes sowohl für die Versorgung des Großraums Tunis als auch für den Süden des Landes.</w:t>
      </w:r>
      <w:r>
        <w:rPr>
          <w:rStyle w:val="Appelnotedebasdep"/>
          <w:rFonts w:cs="Arial"/>
        </w:rPr>
        <w:footnoteReference w:id="3"/>
      </w:r>
      <w:r w:rsidRPr="002E38E9">
        <w:rPr>
          <w:szCs w:val="20"/>
          <w:lang w:val="de-DE"/>
        </w:rPr>
        <w:t xml:space="preserve"> Während der Norden des Landes durch das Mittelmeerklima über ausreichende Niederschläge und Oberflächenwasservorkommen verfügt, werden diese in Richtung Süden immer seltener. Dadurch gibt es, z. B. in den südlichsten Provinzen von </w:t>
      </w:r>
      <w:proofErr w:type="spellStart"/>
      <w:r w:rsidRPr="002E38E9">
        <w:rPr>
          <w:szCs w:val="20"/>
          <w:lang w:val="de-DE"/>
        </w:rPr>
        <w:t>Tataouine</w:t>
      </w:r>
      <w:proofErr w:type="spellEnd"/>
      <w:r w:rsidRPr="002E38E9">
        <w:rPr>
          <w:szCs w:val="20"/>
          <w:lang w:val="de-DE"/>
        </w:rPr>
        <w:t xml:space="preserve"> und </w:t>
      </w:r>
      <w:proofErr w:type="spellStart"/>
      <w:r w:rsidRPr="002E38E9">
        <w:rPr>
          <w:szCs w:val="20"/>
          <w:lang w:val="de-DE"/>
        </w:rPr>
        <w:t>Gabés</w:t>
      </w:r>
      <w:proofErr w:type="spellEnd"/>
      <w:r w:rsidRPr="002E38E9">
        <w:rPr>
          <w:szCs w:val="20"/>
          <w:lang w:val="de-DE"/>
        </w:rPr>
        <w:t>, keine nennenswerten Oberflächenwasservorkommen mehr.</w:t>
      </w:r>
    </w:p>
    <w:p w14:paraId="18C0FDB7" w14:textId="3A6352F6" w:rsidR="00401F37" w:rsidRPr="00401F37" w:rsidRDefault="002E38E9" w:rsidP="00F44E5A">
      <w:pPr>
        <w:spacing w:line="276" w:lineRule="auto"/>
        <w:jc w:val="both"/>
        <w:rPr>
          <w:szCs w:val="20"/>
          <w:lang w:val="de-DE"/>
        </w:rPr>
      </w:pPr>
      <w:r w:rsidRPr="002E38E9">
        <w:rPr>
          <w:lang w:val="de-DE"/>
        </w:rPr>
        <w:t xml:space="preserve">Aufgrund der fehlenden Wasserressourcen und einer steigenden Nachfrage befindet sich Tunesien momentan in einem kritischen Zustand der Überbeanspruchung von Wasserressourcen. Vor allem die im Süden des Landes vorhandenen Grundwasserressourcen werden ausgebeutet. Folgen der </w:t>
      </w:r>
      <w:r w:rsidRPr="002E38E9">
        <w:rPr>
          <w:lang w:val="de-DE"/>
        </w:rPr>
        <w:lastRenderedPageBreak/>
        <w:t>Überausbeutung sind eine Absenkung des Grundwasserspiegels und die zunehmende Versalzung des Grundwassers. Da dieses</w:t>
      </w:r>
      <w:r w:rsidRPr="002E38E9">
        <w:rPr>
          <w:szCs w:val="20"/>
          <w:lang w:val="de-DE"/>
        </w:rPr>
        <w:t xml:space="preserve"> Grundwasser die einzige Wasserquelle der Region darstellt, leidet die Wasserqualität des Versorgungsnetzwerkes unter der Versalzung des Grundwassers.</w:t>
      </w:r>
      <w:r>
        <w:rPr>
          <w:rStyle w:val="Appelnotedebasdep"/>
          <w:szCs w:val="20"/>
        </w:rPr>
        <w:footnoteReference w:id="4"/>
      </w:r>
    </w:p>
    <w:p w14:paraId="2E778D9F" w14:textId="76A20F0E" w:rsidR="002E38E9" w:rsidRDefault="002E38E9" w:rsidP="00F44E5A">
      <w:pPr>
        <w:spacing w:line="276" w:lineRule="auto"/>
        <w:jc w:val="both"/>
        <w:rPr>
          <w:szCs w:val="20"/>
          <w:lang w:val="de-DE"/>
        </w:rPr>
      </w:pPr>
      <w:r w:rsidRPr="002E38E9">
        <w:rPr>
          <w:szCs w:val="20"/>
          <w:lang w:val="de-DE"/>
        </w:rPr>
        <w:t>Um die Überbeanspruchung der Grundwasserreserven zu stoppen, müssen andere Wasserversorgungsmöglichkeiten gefunden und ein Schwerpunkt auf die Entwicklung von nichtkonventionellen Wasserquellen gelegt werden. Dazu</w:t>
      </w:r>
      <w:r w:rsidRPr="002E38E9">
        <w:rPr>
          <w:spacing w:val="-3"/>
          <w:szCs w:val="20"/>
          <w:lang w:val="de-DE"/>
        </w:rPr>
        <w:t xml:space="preserve"> </w:t>
      </w:r>
      <w:r w:rsidRPr="002E38E9">
        <w:rPr>
          <w:spacing w:val="-1"/>
          <w:szCs w:val="20"/>
          <w:lang w:val="de-DE"/>
        </w:rPr>
        <w:t>g</w:t>
      </w:r>
      <w:r w:rsidRPr="002E38E9">
        <w:rPr>
          <w:szCs w:val="20"/>
          <w:lang w:val="de-DE"/>
        </w:rPr>
        <w:t>e</w:t>
      </w:r>
      <w:r w:rsidRPr="002E38E9">
        <w:rPr>
          <w:spacing w:val="1"/>
          <w:szCs w:val="20"/>
          <w:lang w:val="de-DE"/>
        </w:rPr>
        <w:t>hö</w:t>
      </w:r>
      <w:r w:rsidRPr="002E38E9">
        <w:rPr>
          <w:spacing w:val="-1"/>
          <w:szCs w:val="20"/>
          <w:lang w:val="de-DE"/>
        </w:rPr>
        <w:t>r</w:t>
      </w:r>
      <w:r w:rsidRPr="002E38E9">
        <w:rPr>
          <w:szCs w:val="20"/>
          <w:lang w:val="de-DE"/>
        </w:rPr>
        <w:t>en</w:t>
      </w:r>
      <w:r w:rsidRPr="002E38E9">
        <w:rPr>
          <w:spacing w:val="-5"/>
          <w:szCs w:val="20"/>
          <w:lang w:val="de-DE"/>
        </w:rPr>
        <w:t xml:space="preserve"> </w:t>
      </w:r>
      <w:r w:rsidRPr="002E38E9">
        <w:rPr>
          <w:spacing w:val="1"/>
          <w:szCs w:val="20"/>
          <w:lang w:val="de-DE"/>
        </w:rPr>
        <w:t>n</w:t>
      </w:r>
      <w:r w:rsidRPr="002E38E9">
        <w:rPr>
          <w:spacing w:val="-3"/>
          <w:szCs w:val="20"/>
          <w:lang w:val="de-DE"/>
        </w:rPr>
        <w:t>e</w:t>
      </w:r>
      <w:r w:rsidRPr="002E38E9">
        <w:rPr>
          <w:spacing w:val="1"/>
          <w:szCs w:val="20"/>
          <w:lang w:val="de-DE"/>
        </w:rPr>
        <w:t>b</w:t>
      </w:r>
      <w:r w:rsidRPr="002E38E9">
        <w:rPr>
          <w:szCs w:val="20"/>
          <w:lang w:val="de-DE"/>
        </w:rPr>
        <w:t xml:space="preserve">en </w:t>
      </w:r>
      <w:r w:rsidRPr="002E38E9">
        <w:rPr>
          <w:spacing w:val="-2"/>
          <w:szCs w:val="20"/>
          <w:lang w:val="de-DE"/>
        </w:rPr>
        <w:t>K</w:t>
      </w:r>
      <w:r w:rsidRPr="002E38E9">
        <w:rPr>
          <w:szCs w:val="20"/>
          <w:lang w:val="de-DE"/>
        </w:rPr>
        <w:t>l</w:t>
      </w:r>
      <w:r w:rsidRPr="002E38E9">
        <w:rPr>
          <w:spacing w:val="2"/>
          <w:szCs w:val="20"/>
          <w:lang w:val="de-DE"/>
        </w:rPr>
        <w:t>ä</w:t>
      </w:r>
      <w:r w:rsidRPr="002E38E9">
        <w:rPr>
          <w:spacing w:val="-1"/>
          <w:szCs w:val="20"/>
          <w:lang w:val="de-DE"/>
        </w:rPr>
        <w:t>r</w:t>
      </w:r>
      <w:r w:rsidRPr="002E38E9">
        <w:rPr>
          <w:spacing w:val="1"/>
          <w:szCs w:val="20"/>
          <w:lang w:val="de-DE"/>
        </w:rPr>
        <w:t>un</w:t>
      </w:r>
      <w:r w:rsidRPr="002E38E9">
        <w:rPr>
          <w:szCs w:val="20"/>
          <w:lang w:val="de-DE"/>
        </w:rPr>
        <w:t>g</w:t>
      </w:r>
      <w:r w:rsidRPr="002E38E9">
        <w:rPr>
          <w:spacing w:val="-7"/>
          <w:szCs w:val="20"/>
          <w:lang w:val="de-DE"/>
        </w:rPr>
        <w:t xml:space="preserve"> </w:t>
      </w:r>
      <w:r w:rsidRPr="002E38E9">
        <w:rPr>
          <w:spacing w:val="1"/>
          <w:szCs w:val="20"/>
          <w:lang w:val="de-DE"/>
        </w:rPr>
        <w:t>un</w:t>
      </w:r>
      <w:r w:rsidRPr="002E38E9">
        <w:rPr>
          <w:szCs w:val="20"/>
          <w:lang w:val="de-DE"/>
        </w:rPr>
        <w:t>d</w:t>
      </w:r>
      <w:r w:rsidRPr="002E38E9">
        <w:rPr>
          <w:spacing w:val="-2"/>
          <w:szCs w:val="20"/>
          <w:lang w:val="de-DE"/>
        </w:rPr>
        <w:t xml:space="preserve"> </w:t>
      </w:r>
      <w:r w:rsidRPr="002E38E9">
        <w:rPr>
          <w:spacing w:val="-1"/>
          <w:szCs w:val="20"/>
          <w:lang w:val="de-DE"/>
        </w:rPr>
        <w:t>W</w:t>
      </w:r>
      <w:r w:rsidRPr="002E38E9">
        <w:rPr>
          <w:szCs w:val="20"/>
          <w:lang w:val="de-DE"/>
        </w:rPr>
        <w:t>ie</w:t>
      </w:r>
      <w:r w:rsidRPr="002E38E9">
        <w:rPr>
          <w:spacing w:val="1"/>
          <w:szCs w:val="20"/>
          <w:lang w:val="de-DE"/>
        </w:rPr>
        <w:t>d</w:t>
      </w:r>
      <w:r w:rsidRPr="002E38E9">
        <w:rPr>
          <w:szCs w:val="20"/>
          <w:lang w:val="de-DE"/>
        </w:rPr>
        <w:t>e</w:t>
      </w:r>
      <w:r w:rsidRPr="002E38E9">
        <w:rPr>
          <w:spacing w:val="-1"/>
          <w:szCs w:val="20"/>
          <w:lang w:val="de-DE"/>
        </w:rPr>
        <w:t>rv</w:t>
      </w:r>
      <w:r w:rsidRPr="002E38E9">
        <w:rPr>
          <w:szCs w:val="20"/>
          <w:lang w:val="de-DE"/>
        </w:rPr>
        <w:t>e</w:t>
      </w:r>
      <w:r w:rsidRPr="002E38E9">
        <w:rPr>
          <w:spacing w:val="-1"/>
          <w:szCs w:val="20"/>
          <w:lang w:val="de-DE"/>
        </w:rPr>
        <w:t>r</w:t>
      </w:r>
      <w:r w:rsidRPr="002E38E9">
        <w:rPr>
          <w:szCs w:val="20"/>
          <w:lang w:val="de-DE"/>
        </w:rPr>
        <w:t>we</w:t>
      </w:r>
      <w:r w:rsidRPr="002E38E9">
        <w:rPr>
          <w:spacing w:val="1"/>
          <w:szCs w:val="20"/>
          <w:lang w:val="de-DE"/>
        </w:rPr>
        <w:t>ndu</w:t>
      </w:r>
      <w:r w:rsidRPr="002E38E9">
        <w:rPr>
          <w:spacing w:val="-1"/>
          <w:szCs w:val="20"/>
          <w:lang w:val="de-DE"/>
        </w:rPr>
        <w:t>n</w:t>
      </w:r>
      <w:r w:rsidRPr="002E38E9">
        <w:rPr>
          <w:szCs w:val="20"/>
          <w:lang w:val="de-DE"/>
        </w:rPr>
        <w:t>g</w:t>
      </w:r>
      <w:r w:rsidRPr="002E38E9">
        <w:rPr>
          <w:spacing w:val="-16"/>
          <w:szCs w:val="20"/>
          <w:lang w:val="de-DE"/>
        </w:rPr>
        <w:t xml:space="preserve"> </w:t>
      </w:r>
      <w:r w:rsidRPr="002E38E9">
        <w:rPr>
          <w:spacing w:val="-1"/>
          <w:szCs w:val="20"/>
          <w:lang w:val="de-DE"/>
        </w:rPr>
        <w:t>v</w:t>
      </w:r>
      <w:r w:rsidRPr="002E38E9">
        <w:rPr>
          <w:spacing w:val="1"/>
          <w:szCs w:val="20"/>
          <w:lang w:val="de-DE"/>
        </w:rPr>
        <w:t>o</w:t>
      </w:r>
      <w:r w:rsidRPr="002E38E9">
        <w:rPr>
          <w:szCs w:val="20"/>
          <w:lang w:val="de-DE"/>
        </w:rPr>
        <w:t>n</w:t>
      </w:r>
      <w:r w:rsidRPr="002E38E9">
        <w:rPr>
          <w:spacing w:val="-2"/>
          <w:szCs w:val="20"/>
          <w:lang w:val="de-DE"/>
        </w:rPr>
        <w:t xml:space="preserve"> </w:t>
      </w:r>
      <w:r w:rsidRPr="002E38E9">
        <w:rPr>
          <w:szCs w:val="20"/>
          <w:lang w:val="de-DE"/>
        </w:rPr>
        <w:t>A</w:t>
      </w:r>
      <w:r w:rsidRPr="002E38E9">
        <w:rPr>
          <w:spacing w:val="1"/>
          <w:szCs w:val="20"/>
          <w:lang w:val="de-DE"/>
        </w:rPr>
        <w:t>b</w:t>
      </w:r>
      <w:r w:rsidRPr="002E38E9">
        <w:rPr>
          <w:szCs w:val="20"/>
          <w:lang w:val="de-DE"/>
        </w:rPr>
        <w:t>was</w:t>
      </w:r>
      <w:r w:rsidRPr="002E38E9">
        <w:rPr>
          <w:spacing w:val="1"/>
          <w:szCs w:val="20"/>
          <w:lang w:val="de-DE"/>
        </w:rPr>
        <w:t>s</w:t>
      </w:r>
      <w:r w:rsidRPr="002E38E9">
        <w:rPr>
          <w:szCs w:val="20"/>
          <w:lang w:val="de-DE"/>
        </w:rPr>
        <w:t>er</w:t>
      </w:r>
      <w:r w:rsidRPr="002E38E9">
        <w:rPr>
          <w:spacing w:val="-8"/>
          <w:szCs w:val="20"/>
          <w:lang w:val="de-DE"/>
        </w:rPr>
        <w:t xml:space="preserve"> </w:t>
      </w:r>
      <w:r w:rsidRPr="002E38E9">
        <w:rPr>
          <w:szCs w:val="20"/>
          <w:lang w:val="de-DE"/>
        </w:rPr>
        <w:t>a</w:t>
      </w:r>
      <w:r w:rsidRPr="002E38E9">
        <w:rPr>
          <w:spacing w:val="1"/>
          <w:szCs w:val="20"/>
          <w:lang w:val="de-DE"/>
        </w:rPr>
        <w:t>u</w:t>
      </w:r>
      <w:r w:rsidRPr="002E38E9">
        <w:rPr>
          <w:szCs w:val="20"/>
          <w:lang w:val="de-DE"/>
        </w:rPr>
        <w:t>ch</w:t>
      </w:r>
      <w:r w:rsidRPr="002E38E9">
        <w:rPr>
          <w:spacing w:val="-3"/>
          <w:szCs w:val="20"/>
          <w:lang w:val="de-DE"/>
        </w:rPr>
        <w:t xml:space="preserve"> </w:t>
      </w:r>
      <w:r w:rsidRPr="002E38E9">
        <w:rPr>
          <w:spacing w:val="1"/>
          <w:szCs w:val="20"/>
          <w:lang w:val="de-DE"/>
        </w:rPr>
        <w:t>d</w:t>
      </w:r>
      <w:r w:rsidRPr="002E38E9">
        <w:rPr>
          <w:szCs w:val="20"/>
          <w:lang w:val="de-DE"/>
        </w:rPr>
        <w:t>ie</w:t>
      </w:r>
      <w:r w:rsidRPr="002E38E9">
        <w:rPr>
          <w:spacing w:val="-2"/>
          <w:szCs w:val="20"/>
          <w:lang w:val="de-DE"/>
        </w:rPr>
        <w:t xml:space="preserve"> </w:t>
      </w:r>
      <w:r w:rsidRPr="002E38E9">
        <w:rPr>
          <w:szCs w:val="20"/>
          <w:lang w:val="de-DE"/>
        </w:rPr>
        <w:t>E</w:t>
      </w:r>
      <w:r w:rsidRPr="002E38E9">
        <w:rPr>
          <w:spacing w:val="1"/>
          <w:szCs w:val="20"/>
          <w:lang w:val="de-DE"/>
        </w:rPr>
        <w:t>n</w:t>
      </w:r>
      <w:r w:rsidRPr="002E38E9">
        <w:rPr>
          <w:spacing w:val="-2"/>
          <w:szCs w:val="20"/>
          <w:lang w:val="de-DE"/>
        </w:rPr>
        <w:t>t</w:t>
      </w:r>
      <w:r w:rsidRPr="002E38E9">
        <w:rPr>
          <w:szCs w:val="20"/>
          <w:lang w:val="de-DE"/>
        </w:rPr>
        <w:t>salz</w:t>
      </w:r>
      <w:r w:rsidRPr="002E38E9">
        <w:rPr>
          <w:spacing w:val="1"/>
          <w:szCs w:val="20"/>
          <w:lang w:val="de-DE"/>
        </w:rPr>
        <w:t>un</w:t>
      </w:r>
      <w:r w:rsidRPr="002E38E9">
        <w:rPr>
          <w:szCs w:val="20"/>
          <w:lang w:val="de-DE"/>
        </w:rPr>
        <w:t>g</w:t>
      </w:r>
      <w:r w:rsidRPr="002E38E9">
        <w:rPr>
          <w:spacing w:val="-2"/>
          <w:szCs w:val="20"/>
          <w:lang w:val="de-DE"/>
        </w:rPr>
        <w:t xml:space="preserve"> </w:t>
      </w:r>
      <w:r w:rsidRPr="002E38E9">
        <w:rPr>
          <w:spacing w:val="-1"/>
          <w:szCs w:val="20"/>
          <w:lang w:val="de-DE"/>
        </w:rPr>
        <w:t>v</w:t>
      </w:r>
      <w:r w:rsidRPr="002E38E9">
        <w:rPr>
          <w:spacing w:val="1"/>
          <w:szCs w:val="20"/>
          <w:lang w:val="de-DE"/>
        </w:rPr>
        <w:t>o</w:t>
      </w:r>
      <w:r w:rsidRPr="002E38E9">
        <w:rPr>
          <w:szCs w:val="20"/>
          <w:lang w:val="de-DE"/>
        </w:rPr>
        <w:t>n</w:t>
      </w:r>
      <w:r w:rsidRPr="002E38E9">
        <w:rPr>
          <w:spacing w:val="-2"/>
          <w:szCs w:val="20"/>
          <w:lang w:val="de-DE"/>
        </w:rPr>
        <w:t xml:space="preserve"> </w:t>
      </w:r>
      <w:r w:rsidRPr="002E38E9">
        <w:rPr>
          <w:spacing w:val="1"/>
          <w:szCs w:val="20"/>
          <w:lang w:val="de-DE"/>
        </w:rPr>
        <w:t>B</w:t>
      </w:r>
      <w:r w:rsidRPr="002E38E9">
        <w:rPr>
          <w:spacing w:val="-1"/>
          <w:szCs w:val="20"/>
          <w:lang w:val="de-DE"/>
        </w:rPr>
        <w:t>r</w:t>
      </w:r>
      <w:r w:rsidRPr="002E38E9">
        <w:rPr>
          <w:szCs w:val="20"/>
          <w:lang w:val="de-DE"/>
        </w:rPr>
        <w:t>ack-</w:t>
      </w:r>
      <w:r w:rsidRPr="002E38E9">
        <w:rPr>
          <w:spacing w:val="-5"/>
          <w:szCs w:val="20"/>
          <w:lang w:val="de-DE"/>
        </w:rPr>
        <w:t xml:space="preserve"> </w:t>
      </w:r>
      <w:r w:rsidRPr="002E38E9">
        <w:rPr>
          <w:spacing w:val="1"/>
          <w:szCs w:val="20"/>
          <w:lang w:val="de-DE"/>
        </w:rPr>
        <w:t>un</w:t>
      </w:r>
      <w:r w:rsidRPr="002E38E9">
        <w:rPr>
          <w:szCs w:val="20"/>
          <w:lang w:val="de-DE"/>
        </w:rPr>
        <w:t>d</w:t>
      </w:r>
      <w:r w:rsidRPr="002E38E9">
        <w:rPr>
          <w:spacing w:val="-2"/>
          <w:szCs w:val="20"/>
          <w:lang w:val="de-DE"/>
        </w:rPr>
        <w:t xml:space="preserve"> </w:t>
      </w:r>
      <w:r w:rsidRPr="002E38E9">
        <w:rPr>
          <w:szCs w:val="20"/>
          <w:lang w:val="de-DE"/>
        </w:rPr>
        <w:t>M</w:t>
      </w:r>
      <w:r w:rsidRPr="002E38E9">
        <w:rPr>
          <w:spacing w:val="-1"/>
          <w:szCs w:val="20"/>
          <w:lang w:val="de-DE"/>
        </w:rPr>
        <w:t>e</w:t>
      </w:r>
      <w:r w:rsidRPr="002E38E9">
        <w:rPr>
          <w:szCs w:val="20"/>
          <w:lang w:val="de-DE"/>
        </w:rPr>
        <w:t>e</w:t>
      </w:r>
      <w:r w:rsidRPr="002E38E9">
        <w:rPr>
          <w:spacing w:val="-1"/>
          <w:szCs w:val="20"/>
          <w:lang w:val="de-DE"/>
        </w:rPr>
        <w:t>r</w:t>
      </w:r>
      <w:r w:rsidRPr="002E38E9">
        <w:rPr>
          <w:szCs w:val="20"/>
          <w:lang w:val="de-DE"/>
        </w:rPr>
        <w:t>was</w:t>
      </w:r>
      <w:r w:rsidRPr="002E38E9">
        <w:rPr>
          <w:spacing w:val="1"/>
          <w:szCs w:val="20"/>
          <w:lang w:val="de-DE"/>
        </w:rPr>
        <w:t>s</w:t>
      </w:r>
      <w:r w:rsidRPr="002E38E9">
        <w:rPr>
          <w:szCs w:val="20"/>
          <w:lang w:val="de-DE"/>
        </w:rPr>
        <w:t>e</w:t>
      </w:r>
      <w:r w:rsidRPr="002E38E9">
        <w:rPr>
          <w:spacing w:val="-1"/>
          <w:szCs w:val="20"/>
          <w:lang w:val="de-DE"/>
        </w:rPr>
        <w:t>r</w:t>
      </w:r>
      <w:r w:rsidRPr="002E38E9">
        <w:rPr>
          <w:szCs w:val="20"/>
          <w:lang w:val="de-DE"/>
        </w:rPr>
        <w:t>.</w:t>
      </w:r>
    </w:p>
    <w:p w14:paraId="5E026697" w14:textId="7F552659" w:rsidR="00170C8A" w:rsidRPr="00170C8A" w:rsidRDefault="00347723" w:rsidP="00170C8A">
      <w:pPr>
        <w:pStyle w:val="Titre2"/>
        <w:spacing w:after="240"/>
        <w:rPr>
          <w:lang w:val="de-DE"/>
        </w:rPr>
      </w:pPr>
      <w:r w:rsidRPr="00347723">
        <w:rPr>
          <w:lang w:val="de-DE"/>
        </w:rPr>
        <w:t>Wasserzugang</w:t>
      </w:r>
      <w:r w:rsidR="006A7CC3" w:rsidRPr="00717257">
        <w:rPr>
          <w:szCs w:val="20"/>
          <w:vertAlign w:val="superscript"/>
          <w:lang w:val="de-DE"/>
        </w:rPr>
        <w:footnoteReference w:id="5"/>
      </w:r>
    </w:p>
    <w:p w14:paraId="6D544B70" w14:textId="167F69B4" w:rsidR="00717257" w:rsidRPr="00717257" w:rsidRDefault="00717257" w:rsidP="00F44E5A">
      <w:pPr>
        <w:spacing w:line="276" w:lineRule="auto"/>
        <w:jc w:val="both"/>
        <w:rPr>
          <w:szCs w:val="20"/>
          <w:lang w:val="de-DE"/>
        </w:rPr>
      </w:pPr>
      <w:r w:rsidRPr="00717257">
        <w:rPr>
          <w:szCs w:val="20"/>
          <w:lang w:val="de-DE"/>
        </w:rPr>
        <w:t xml:space="preserve">Der Zugang zu </w:t>
      </w:r>
      <w:r w:rsidRPr="00717257">
        <w:rPr>
          <w:bCs/>
          <w:szCs w:val="20"/>
          <w:lang w:val="de-DE"/>
        </w:rPr>
        <w:t>Trinkwasser</w:t>
      </w:r>
      <w:r w:rsidRPr="00717257">
        <w:rPr>
          <w:szCs w:val="20"/>
          <w:lang w:val="de-DE"/>
        </w:rPr>
        <w:t xml:space="preserve">, für den seit 1968 die SONEDE und zu einem geringeren Ausmaß in ländlichen Regionen die DG/GREE zuständig ist, hat sich in den letzten Jahrzehnten für die Bevölkerung deutlich verbessert. </w:t>
      </w:r>
      <w:r w:rsidR="00C50C9B">
        <w:rPr>
          <w:szCs w:val="20"/>
          <w:lang w:val="de-DE"/>
        </w:rPr>
        <w:t>11,527 Millionen Menschen, das sind 98,2 %</w:t>
      </w:r>
      <w:r w:rsidRPr="00717257">
        <w:rPr>
          <w:szCs w:val="20"/>
          <w:lang w:val="de-DE"/>
        </w:rPr>
        <w:t xml:space="preserve"> aller Einwohner</w:t>
      </w:r>
      <w:r w:rsidR="00C50C9B">
        <w:rPr>
          <w:szCs w:val="20"/>
          <w:lang w:val="de-DE"/>
        </w:rPr>
        <w:t xml:space="preserve"> wurden</w:t>
      </w:r>
      <w:r w:rsidR="003D4706">
        <w:rPr>
          <w:szCs w:val="20"/>
          <w:lang w:val="de-DE"/>
        </w:rPr>
        <w:t xml:space="preserve"> insgesamt</w:t>
      </w:r>
      <w:r w:rsidR="00C50C9B">
        <w:rPr>
          <w:szCs w:val="20"/>
          <w:lang w:val="de-DE"/>
        </w:rPr>
        <w:t xml:space="preserve"> 2019 </w:t>
      </w:r>
      <w:r w:rsidRPr="00717257">
        <w:rPr>
          <w:szCs w:val="20"/>
          <w:lang w:val="de-DE"/>
        </w:rPr>
        <w:t>mit Wasser versorgt</w:t>
      </w:r>
      <w:r w:rsidR="00C50C9B">
        <w:rPr>
          <w:szCs w:val="20"/>
          <w:lang w:val="de-DE"/>
        </w:rPr>
        <w:t>, der Ausbau geht dabei stetig voran</w:t>
      </w:r>
      <w:r w:rsidRPr="00717257">
        <w:rPr>
          <w:szCs w:val="20"/>
          <w:lang w:val="de-DE"/>
        </w:rPr>
        <w:t>. Die Versorgungsrate im städtischen Gebiet hat mittlerweile 100% erreicht. In den ländlichen Regionen beträgt sie jedoch nur 9</w:t>
      </w:r>
      <w:r w:rsidR="00C50C9B">
        <w:rPr>
          <w:szCs w:val="20"/>
          <w:lang w:val="de-DE"/>
        </w:rPr>
        <w:t>4</w:t>
      </w:r>
      <w:r w:rsidRPr="00717257">
        <w:rPr>
          <w:szCs w:val="20"/>
          <w:lang w:val="de-DE"/>
        </w:rPr>
        <w:t>,</w:t>
      </w:r>
      <w:r w:rsidR="00C50C9B">
        <w:rPr>
          <w:szCs w:val="20"/>
          <w:lang w:val="de-DE"/>
        </w:rPr>
        <w:t>5</w:t>
      </w:r>
      <w:r w:rsidRPr="00717257">
        <w:rPr>
          <w:szCs w:val="20"/>
          <w:lang w:val="de-DE"/>
        </w:rPr>
        <w:t>%</w:t>
      </w:r>
      <w:r w:rsidR="003D4706">
        <w:rPr>
          <w:szCs w:val="20"/>
          <w:lang w:val="de-DE"/>
        </w:rPr>
        <w:t>, dabei werden 53% der Landbevölkerung durch SONEDE und 41,5% durch DG/GRE erreicht</w:t>
      </w:r>
      <w:r w:rsidRPr="00717257">
        <w:rPr>
          <w:szCs w:val="20"/>
          <w:lang w:val="de-DE"/>
        </w:rPr>
        <w:t>.</w:t>
      </w:r>
      <w:r w:rsidR="00CF7C7E">
        <w:rPr>
          <w:szCs w:val="20"/>
          <w:lang w:val="de-DE"/>
        </w:rPr>
        <w:t xml:space="preserve"> Trotzdem sind nur 49,3 % der ländlichen Haushalte gegenüber 99,8 % der städtischen Haushalte an die Wasserversorgung angeschlossen</w:t>
      </w:r>
    </w:p>
    <w:p w14:paraId="4083115D" w14:textId="654F0190" w:rsidR="00717257" w:rsidRDefault="00717257" w:rsidP="00F44E5A">
      <w:pPr>
        <w:spacing w:line="276" w:lineRule="auto"/>
        <w:jc w:val="both"/>
        <w:rPr>
          <w:szCs w:val="20"/>
          <w:lang w:val="de-DE"/>
        </w:rPr>
      </w:pPr>
      <w:r w:rsidRPr="00717257">
        <w:rPr>
          <w:szCs w:val="20"/>
          <w:lang w:val="de-DE"/>
        </w:rPr>
        <w:t>Das Wasserversorgungsnetzwerk in Tunesien bestand 201</w:t>
      </w:r>
      <w:r w:rsidR="00CF7C7E">
        <w:rPr>
          <w:szCs w:val="20"/>
          <w:lang w:val="de-DE"/>
        </w:rPr>
        <w:t>9</w:t>
      </w:r>
      <w:r w:rsidRPr="00717257">
        <w:rPr>
          <w:szCs w:val="20"/>
          <w:lang w:val="de-DE"/>
        </w:rPr>
        <w:t xml:space="preserve"> aus 5</w:t>
      </w:r>
      <w:r w:rsidR="00CF7C7E">
        <w:rPr>
          <w:szCs w:val="20"/>
          <w:lang w:val="de-DE"/>
        </w:rPr>
        <w:t>5</w:t>
      </w:r>
      <w:r w:rsidR="00E833F0">
        <w:rPr>
          <w:szCs w:val="20"/>
          <w:lang w:val="de-DE"/>
        </w:rPr>
        <w:t>.</w:t>
      </w:r>
      <w:r w:rsidR="00CF7C7E">
        <w:rPr>
          <w:szCs w:val="20"/>
          <w:lang w:val="de-DE"/>
        </w:rPr>
        <w:t>816</w:t>
      </w:r>
      <w:r w:rsidRPr="00717257">
        <w:rPr>
          <w:szCs w:val="20"/>
          <w:lang w:val="de-DE"/>
        </w:rPr>
        <w:t xml:space="preserve"> km </w:t>
      </w:r>
      <w:r w:rsidR="00CF7C7E">
        <w:rPr>
          <w:szCs w:val="20"/>
          <w:lang w:val="de-DE"/>
        </w:rPr>
        <w:t>N</w:t>
      </w:r>
      <w:r w:rsidRPr="00717257">
        <w:rPr>
          <w:szCs w:val="20"/>
          <w:lang w:val="de-DE"/>
        </w:rPr>
        <w:t>etz</w:t>
      </w:r>
      <w:r w:rsidR="00CF7C7E">
        <w:rPr>
          <w:szCs w:val="20"/>
          <w:lang w:val="de-DE"/>
        </w:rPr>
        <w:t xml:space="preserve"> (45</w:t>
      </w:r>
      <w:r w:rsidR="00E833F0">
        <w:rPr>
          <w:szCs w:val="20"/>
          <w:lang w:val="de-DE"/>
        </w:rPr>
        <w:t>.</w:t>
      </w:r>
      <w:r w:rsidR="00CF7C7E">
        <w:rPr>
          <w:szCs w:val="20"/>
          <w:lang w:val="de-DE"/>
        </w:rPr>
        <w:t>961 km Verteilungsnetz, 9</w:t>
      </w:r>
      <w:r w:rsidR="00A75C51">
        <w:rPr>
          <w:szCs w:val="20"/>
          <w:lang w:val="de-DE"/>
        </w:rPr>
        <w:t>.</w:t>
      </w:r>
      <w:r w:rsidR="00CF7C7E">
        <w:rPr>
          <w:szCs w:val="20"/>
          <w:lang w:val="de-DE"/>
        </w:rPr>
        <w:t xml:space="preserve">855 km </w:t>
      </w:r>
      <w:proofErr w:type="spellStart"/>
      <w:r w:rsidR="00CF7C7E">
        <w:rPr>
          <w:szCs w:val="20"/>
          <w:lang w:val="de-DE"/>
        </w:rPr>
        <w:t>Beileitungsnetz</w:t>
      </w:r>
      <w:proofErr w:type="spellEnd"/>
      <w:r w:rsidR="00274B55">
        <w:rPr>
          <w:szCs w:val="20"/>
          <w:lang w:val="de-DE"/>
        </w:rPr>
        <w:t xml:space="preserve">). </w:t>
      </w:r>
      <w:r w:rsidR="00CF7C7E">
        <w:rPr>
          <w:szCs w:val="20"/>
          <w:lang w:val="de-DE"/>
        </w:rPr>
        <w:t xml:space="preserve">Im Vorjahresvergleich wurde das Netz um 765 km ausgebaut. </w:t>
      </w:r>
      <w:r w:rsidRPr="00717257">
        <w:rPr>
          <w:szCs w:val="20"/>
          <w:lang w:val="de-DE"/>
        </w:rPr>
        <w:t>Weiterhin wurde die Anzahl der Hausanschlüsse im Vergleich zu den letzten Jahren erhöht. Der Großteil dieser Anschlüsse wird auch nicht mehr von der SONEDE selbst durchgeführt, sondern über Aufträge an Drittunternehmer vergeben. 201</w:t>
      </w:r>
      <w:r w:rsidR="000C43DC">
        <w:rPr>
          <w:szCs w:val="20"/>
          <w:lang w:val="de-DE"/>
        </w:rPr>
        <w:t>9</w:t>
      </w:r>
      <w:r w:rsidRPr="00717257">
        <w:rPr>
          <w:szCs w:val="20"/>
          <w:lang w:val="de-DE"/>
        </w:rPr>
        <w:t xml:space="preserve"> wurden </w:t>
      </w:r>
      <w:r w:rsidR="000C43DC">
        <w:rPr>
          <w:szCs w:val="20"/>
          <w:lang w:val="de-DE"/>
        </w:rPr>
        <w:t>38</w:t>
      </w:r>
      <w:r w:rsidR="00E833F0">
        <w:rPr>
          <w:szCs w:val="20"/>
          <w:lang w:val="de-DE"/>
        </w:rPr>
        <w:t>.</w:t>
      </w:r>
      <w:r w:rsidR="000C43DC">
        <w:rPr>
          <w:szCs w:val="20"/>
          <w:lang w:val="de-DE"/>
        </w:rPr>
        <w:t>265 oder 74,1</w:t>
      </w:r>
      <w:r w:rsidRPr="00717257">
        <w:rPr>
          <w:szCs w:val="20"/>
          <w:lang w:val="de-DE"/>
        </w:rPr>
        <w:t xml:space="preserve">% der Anschlüsse auf diese Weise installiert. </w:t>
      </w:r>
      <w:r w:rsidR="00CF7C7E">
        <w:rPr>
          <w:szCs w:val="20"/>
          <w:lang w:val="de-DE"/>
        </w:rPr>
        <w:t xml:space="preserve">Eine Kernherausforderung des </w:t>
      </w:r>
      <w:r w:rsidR="00AF7834">
        <w:rPr>
          <w:szCs w:val="20"/>
          <w:lang w:val="de-DE"/>
        </w:rPr>
        <w:t>Netzes ist das hohe Alter der Infrastruktur. 2019 waren 17% des Netzes älter als 49 Jahre</w:t>
      </w:r>
      <w:r w:rsidR="000C43DC">
        <w:rPr>
          <w:szCs w:val="20"/>
          <w:lang w:val="de-DE"/>
        </w:rPr>
        <w:t xml:space="preserve"> was in einem hohen Wartungsaufwand resultiert.</w:t>
      </w:r>
      <w:r w:rsidR="00274B55">
        <w:rPr>
          <w:szCs w:val="20"/>
          <w:lang w:val="de-DE"/>
        </w:rPr>
        <w:t xml:space="preserve"> </w:t>
      </w:r>
    </w:p>
    <w:p w14:paraId="3655E466" w14:textId="5B0B8821" w:rsidR="006A7CC3" w:rsidRDefault="006A7CC3" w:rsidP="00F44E5A">
      <w:pPr>
        <w:spacing w:line="276" w:lineRule="auto"/>
        <w:jc w:val="both"/>
        <w:rPr>
          <w:szCs w:val="20"/>
          <w:lang w:val="de-DE"/>
        </w:rPr>
      </w:pPr>
      <w:r>
        <w:rPr>
          <w:szCs w:val="20"/>
          <w:lang w:val="de-DE"/>
        </w:rPr>
        <w:t>Die Wasserqualität wird als sehr gut bewertet, 2019 waren 2,6% der 48</w:t>
      </w:r>
      <w:r w:rsidR="00E833F0">
        <w:rPr>
          <w:szCs w:val="20"/>
          <w:lang w:val="de-DE"/>
        </w:rPr>
        <w:t>.</w:t>
      </w:r>
      <w:r>
        <w:rPr>
          <w:szCs w:val="20"/>
          <w:lang w:val="de-DE"/>
        </w:rPr>
        <w:t>907 entnommenen Wasserproben belastet.</w:t>
      </w:r>
    </w:p>
    <w:p w14:paraId="74F1660F" w14:textId="71472FC3" w:rsidR="00170C8A" w:rsidRPr="00170C8A" w:rsidRDefault="00214A40" w:rsidP="00170C8A">
      <w:pPr>
        <w:pStyle w:val="Titre2"/>
        <w:spacing w:after="240"/>
        <w:rPr>
          <w:lang w:val="de-DE"/>
        </w:rPr>
      </w:pPr>
      <w:r w:rsidRPr="00214A40">
        <w:rPr>
          <w:lang w:val="de-DE"/>
        </w:rPr>
        <w:t>Abwasser</w:t>
      </w:r>
    </w:p>
    <w:p w14:paraId="08BD9346" w14:textId="0B39A60D" w:rsidR="00E614F4" w:rsidRPr="00E614F4" w:rsidRDefault="00717257" w:rsidP="00F44E5A">
      <w:pPr>
        <w:spacing w:line="276" w:lineRule="auto"/>
        <w:jc w:val="both"/>
        <w:rPr>
          <w:szCs w:val="20"/>
          <w:lang w:val="de-DE"/>
        </w:rPr>
      </w:pPr>
      <w:r w:rsidRPr="00717257">
        <w:rPr>
          <w:szCs w:val="20"/>
          <w:lang w:val="de-DE"/>
        </w:rPr>
        <w:t>Der Ansatz der tunesischen Regierung im Bereich der Abwasserentsorgung kann ohne Bedenken als eine Erfolgsgeschichte aus der Region Nordafrika und Mittlerer Osten bezeichnet werden. Damit folgt man der Einschätzung der Weltbank, die im Rahmen der Weltwasserwoche in Stockholm am 28. August 2017 einen Report veröffentlichte, in dem die tunesischen Anstrengungen bei der Abwasserentsorgung und -aufbereitung als vorbildhaft dargestellt wurden. Seitdem versucht ONAS dieser Einschätzung immer weiter gerecht zu werden, ihr Versorgungsnetzwerk konstant zu erweitern und die Wasserqualität der aufbereiteten Wasserressourcen immer weiter zu verbessern</w:t>
      </w:r>
      <w:r w:rsidR="00E614F4">
        <w:rPr>
          <w:szCs w:val="20"/>
          <w:lang w:val="de-DE"/>
        </w:rPr>
        <w:t>.</w:t>
      </w:r>
    </w:p>
    <w:p w14:paraId="5FE76C9E" w14:textId="6C10CC4B" w:rsidR="00717257" w:rsidRPr="00717257" w:rsidRDefault="00717257" w:rsidP="00F44E5A">
      <w:pPr>
        <w:spacing w:line="276" w:lineRule="auto"/>
        <w:jc w:val="both"/>
        <w:rPr>
          <w:szCs w:val="20"/>
          <w:lang w:val="de-DE"/>
        </w:rPr>
      </w:pPr>
      <w:r w:rsidRPr="00717257">
        <w:rPr>
          <w:szCs w:val="20"/>
          <w:lang w:val="de-DE"/>
        </w:rPr>
        <w:lastRenderedPageBreak/>
        <w:t xml:space="preserve">Im Jahr </w:t>
      </w:r>
      <w:r w:rsidRPr="00FA2AE2">
        <w:rPr>
          <w:szCs w:val="20"/>
          <w:lang w:val="de-DE"/>
        </w:rPr>
        <w:t>201</w:t>
      </w:r>
      <w:r w:rsidR="00FA2AE2" w:rsidRPr="00FA2AE2">
        <w:rPr>
          <w:szCs w:val="20"/>
          <w:lang w:val="de-DE"/>
        </w:rPr>
        <w:t>9</w:t>
      </w:r>
      <w:r w:rsidRPr="00FA2AE2">
        <w:rPr>
          <w:szCs w:val="20"/>
          <w:lang w:val="de-DE"/>
        </w:rPr>
        <w:t xml:space="preserve"> waren 1</w:t>
      </w:r>
      <w:r w:rsidR="00FA2AE2" w:rsidRPr="00FA2AE2">
        <w:rPr>
          <w:szCs w:val="20"/>
          <w:lang w:val="de-DE"/>
        </w:rPr>
        <w:t>84</w:t>
      </w:r>
      <w:r w:rsidRPr="00FA2AE2">
        <w:rPr>
          <w:szCs w:val="20"/>
          <w:lang w:val="de-DE"/>
        </w:rPr>
        <w:t xml:space="preserve"> Kommunen in Tunesien an das</w:t>
      </w:r>
      <w:r w:rsidRPr="00717257">
        <w:rPr>
          <w:szCs w:val="20"/>
          <w:lang w:val="de-DE"/>
        </w:rPr>
        <w:t xml:space="preserve"> Abwassernetz der ONAS</w:t>
      </w:r>
      <w:r w:rsidR="00B27C6A">
        <w:rPr>
          <w:szCs w:val="20"/>
          <w:lang w:val="de-DE"/>
        </w:rPr>
        <w:t xml:space="preserve"> angeschlossen</w:t>
      </w:r>
      <w:r w:rsidRPr="00717257">
        <w:rPr>
          <w:szCs w:val="20"/>
          <w:lang w:val="de-DE"/>
        </w:rPr>
        <w:t xml:space="preserve">. In diesen </w:t>
      </w:r>
      <w:r w:rsidRPr="00FA2AE2">
        <w:rPr>
          <w:szCs w:val="20"/>
          <w:lang w:val="de-DE"/>
        </w:rPr>
        <w:t xml:space="preserve">Kommunen waren </w:t>
      </w:r>
      <w:r w:rsidR="00FA2AE2" w:rsidRPr="00FA2AE2">
        <w:rPr>
          <w:szCs w:val="20"/>
          <w:lang w:val="de-DE"/>
        </w:rPr>
        <w:t xml:space="preserve">6,6 </w:t>
      </w:r>
      <w:r w:rsidRPr="00FA2AE2">
        <w:rPr>
          <w:szCs w:val="20"/>
          <w:lang w:val="de-DE"/>
        </w:rPr>
        <w:t>Mio. Einwohner an das</w:t>
      </w:r>
      <w:r w:rsidRPr="00717257">
        <w:rPr>
          <w:szCs w:val="20"/>
          <w:lang w:val="de-DE"/>
        </w:rPr>
        <w:t xml:space="preserve"> Wasserentsorgungssystem angeschlossen</w:t>
      </w:r>
      <w:r w:rsidR="00FA2AE2">
        <w:rPr>
          <w:szCs w:val="20"/>
          <w:lang w:val="de-DE"/>
        </w:rPr>
        <w:t>.</w:t>
      </w:r>
      <w:r w:rsidRPr="00717257">
        <w:rPr>
          <w:szCs w:val="20"/>
          <w:lang w:val="de-DE"/>
        </w:rPr>
        <w:t xml:space="preserve"> </w:t>
      </w:r>
    </w:p>
    <w:p w14:paraId="4C3ED3A5" w14:textId="20390851" w:rsidR="00717257" w:rsidRPr="00717257" w:rsidRDefault="00FA2AE2" w:rsidP="00F44E5A">
      <w:pPr>
        <w:spacing w:line="276" w:lineRule="auto"/>
        <w:jc w:val="both"/>
        <w:rPr>
          <w:szCs w:val="20"/>
          <w:lang w:val="de-DE"/>
        </w:rPr>
      </w:pPr>
      <w:r w:rsidRPr="00370D1B">
        <w:rPr>
          <w:szCs w:val="20"/>
          <w:lang w:val="de-DE"/>
        </w:rPr>
        <w:t>D</w:t>
      </w:r>
      <w:r w:rsidR="00717257" w:rsidRPr="00370D1B">
        <w:rPr>
          <w:szCs w:val="20"/>
          <w:lang w:val="de-DE"/>
        </w:rPr>
        <w:t>ie Länge des Abwassernetzes wurde 201</w:t>
      </w:r>
      <w:r w:rsidRPr="00370D1B">
        <w:rPr>
          <w:szCs w:val="20"/>
          <w:lang w:val="de-DE"/>
        </w:rPr>
        <w:t xml:space="preserve">9 </w:t>
      </w:r>
      <w:r w:rsidR="00717257" w:rsidRPr="00370D1B">
        <w:rPr>
          <w:szCs w:val="20"/>
          <w:lang w:val="de-DE"/>
        </w:rPr>
        <w:t xml:space="preserve">von ONAS vergrößert. Während das Netzwerk 2010 nur eine Länge von 14.798 km aufwies, erreichte es </w:t>
      </w:r>
      <w:r w:rsidRPr="00370D1B">
        <w:rPr>
          <w:szCs w:val="20"/>
          <w:lang w:val="de-DE"/>
        </w:rPr>
        <w:t>2019 17</w:t>
      </w:r>
      <w:r w:rsidR="00E833F0">
        <w:rPr>
          <w:szCs w:val="20"/>
          <w:lang w:val="de-DE"/>
        </w:rPr>
        <w:t>.</w:t>
      </w:r>
      <w:r w:rsidRPr="00370D1B">
        <w:rPr>
          <w:szCs w:val="20"/>
          <w:lang w:val="de-DE"/>
        </w:rPr>
        <w:t>188</w:t>
      </w:r>
      <w:r w:rsidR="00717257" w:rsidRPr="00370D1B">
        <w:rPr>
          <w:szCs w:val="20"/>
          <w:lang w:val="de-DE"/>
        </w:rPr>
        <w:t xml:space="preserve"> </w:t>
      </w:r>
      <w:r w:rsidR="00E833F0" w:rsidRPr="00370D1B">
        <w:rPr>
          <w:szCs w:val="20"/>
          <w:lang w:val="de-DE"/>
        </w:rPr>
        <w:t>km.</w:t>
      </w:r>
      <w:r w:rsidR="00110CB9" w:rsidRPr="00370D1B">
        <w:rPr>
          <w:szCs w:val="20"/>
          <w:lang w:val="de-DE"/>
        </w:rPr>
        <w:t xml:space="preserve"> </w:t>
      </w:r>
      <w:r w:rsidR="00717257" w:rsidRPr="00370D1B">
        <w:rPr>
          <w:szCs w:val="20"/>
          <w:lang w:val="de-DE"/>
        </w:rPr>
        <w:t>ONAS arbeitet damit zielstrebig auf ihr Ziel hin, die Abwasserentsorgung in Tunesien zu verbessern.</w:t>
      </w:r>
      <w:r w:rsidR="00370D1B">
        <w:rPr>
          <w:szCs w:val="20"/>
          <w:lang w:val="de-DE"/>
        </w:rPr>
        <w:t xml:space="preserve"> Die Anzahl der Kläranlagen blieb mit 122 im Vergleich zum Vorjahr konstant.</w:t>
      </w:r>
    </w:p>
    <w:p w14:paraId="214A5083" w14:textId="7159CC9D" w:rsidR="00717257" w:rsidRPr="00717257" w:rsidRDefault="00717257" w:rsidP="00F44E5A">
      <w:pPr>
        <w:spacing w:line="276" w:lineRule="auto"/>
        <w:jc w:val="both"/>
        <w:rPr>
          <w:szCs w:val="20"/>
          <w:lang w:val="de-DE"/>
        </w:rPr>
      </w:pPr>
      <w:r w:rsidRPr="00717257">
        <w:rPr>
          <w:szCs w:val="20"/>
          <w:lang w:val="de-DE"/>
        </w:rPr>
        <w:t xml:space="preserve">Das gesammelte Abwasser </w:t>
      </w:r>
      <w:r w:rsidRPr="00FA2AE2">
        <w:rPr>
          <w:szCs w:val="20"/>
          <w:lang w:val="de-DE"/>
        </w:rPr>
        <w:t>belief sich 20</w:t>
      </w:r>
      <w:r w:rsidR="00FA2AE2" w:rsidRPr="00FA2AE2">
        <w:rPr>
          <w:szCs w:val="20"/>
          <w:lang w:val="de-DE"/>
        </w:rPr>
        <w:t>19</w:t>
      </w:r>
      <w:r w:rsidRPr="00FA2AE2">
        <w:rPr>
          <w:szCs w:val="20"/>
          <w:lang w:val="de-DE"/>
        </w:rPr>
        <w:t xml:space="preserve"> auf ein Gesamtvolumen von 2</w:t>
      </w:r>
      <w:r w:rsidR="00FA2AE2" w:rsidRPr="00FA2AE2">
        <w:rPr>
          <w:szCs w:val="20"/>
          <w:lang w:val="de-DE"/>
        </w:rPr>
        <w:t>86,4</w:t>
      </w:r>
      <w:r w:rsidRPr="00FA2AE2">
        <w:rPr>
          <w:szCs w:val="20"/>
          <w:lang w:val="de-DE"/>
        </w:rPr>
        <w:t xml:space="preserve"> Mio. </w:t>
      </w:r>
      <w:r w:rsidR="00E833F0" w:rsidRPr="00FA2AE2">
        <w:rPr>
          <w:szCs w:val="20"/>
          <w:lang w:val="de-DE"/>
        </w:rPr>
        <w:t>m</w:t>
      </w:r>
      <w:r w:rsidR="00E833F0" w:rsidRPr="00FA2AE2">
        <w:rPr>
          <w:szCs w:val="20"/>
          <w:vertAlign w:val="superscript"/>
          <w:lang w:val="de-DE"/>
        </w:rPr>
        <w:t>3,</w:t>
      </w:r>
      <w:r w:rsidR="00FA2AE2">
        <w:rPr>
          <w:szCs w:val="20"/>
          <w:lang w:val="de-DE"/>
        </w:rPr>
        <w:t xml:space="preserve"> wovon 284,5 Mio. </w:t>
      </w:r>
      <w:r w:rsidR="00370D1B">
        <w:rPr>
          <w:szCs w:val="20"/>
          <w:lang w:val="de-DE"/>
        </w:rPr>
        <w:t xml:space="preserve">m³ Abwassertechnisch </w:t>
      </w:r>
      <w:r w:rsidR="00A75C51">
        <w:rPr>
          <w:szCs w:val="20"/>
          <w:lang w:val="de-DE"/>
        </w:rPr>
        <w:t>aufbereitet,</w:t>
      </w:r>
      <w:r w:rsidR="00370D1B">
        <w:rPr>
          <w:szCs w:val="20"/>
          <w:lang w:val="de-DE"/>
        </w:rPr>
        <w:t xml:space="preserve"> wurden</w:t>
      </w:r>
      <w:r w:rsidR="00370D1B">
        <w:rPr>
          <w:rStyle w:val="Appelnotedebasdep"/>
          <w:szCs w:val="20"/>
          <w:lang w:val="de-DE"/>
        </w:rPr>
        <w:footnoteReference w:id="6"/>
      </w:r>
      <w:r w:rsidR="00370D1B">
        <w:rPr>
          <w:szCs w:val="20"/>
          <w:lang w:val="de-DE"/>
        </w:rPr>
        <w:t>.</w:t>
      </w:r>
    </w:p>
    <w:p w14:paraId="4410D4A4" w14:textId="588E7E35" w:rsidR="00717257" w:rsidRPr="002E38E9" w:rsidRDefault="00717257" w:rsidP="00F44E5A">
      <w:pPr>
        <w:spacing w:line="276" w:lineRule="auto"/>
        <w:jc w:val="both"/>
        <w:rPr>
          <w:szCs w:val="20"/>
          <w:lang w:val="de-DE"/>
        </w:rPr>
      </w:pPr>
      <w:r w:rsidRPr="007C10C8">
        <w:rPr>
          <w:szCs w:val="20"/>
          <w:lang w:val="de-DE"/>
        </w:rPr>
        <w:t>Ungefähr 2</w:t>
      </w:r>
      <w:r w:rsidR="007C10C8">
        <w:rPr>
          <w:szCs w:val="20"/>
          <w:lang w:val="de-DE"/>
        </w:rPr>
        <w:t>2</w:t>
      </w:r>
      <w:r w:rsidRPr="007C10C8">
        <w:rPr>
          <w:szCs w:val="20"/>
          <w:lang w:val="de-DE"/>
        </w:rPr>
        <w:t>% (62 Mio. m³) des entsorgten Wassers werden entweder direkt oder indire</w:t>
      </w:r>
      <w:r w:rsidR="007C10C8">
        <w:rPr>
          <w:szCs w:val="20"/>
          <w:lang w:val="de-DE"/>
        </w:rPr>
        <w:t xml:space="preserve">kt </w:t>
      </w:r>
      <w:r w:rsidRPr="007C10C8">
        <w:rPr>
          <w:szCs w:val="20"/>
          <w:lang w:val="de-DE"/>
        </w:rPr>
        <w:t>wiederverwertet. So flossen 53,2% auf indirektem Weg wieder in die Wasserreserven und 46,8% wurden direkt für die landwirtschaftliche Bewässerung wiederverwendet (Agrarwirtschaft, Parks, Golfplätze). 71% der direkten Wiederverwertung geschieht durch Bewässerung von landwirtschaftlichen Nutzflächen,</w:t>
      </w:r>
      <w:r w:rsidR="00CE448E">
        <w:rPr>
          <w:szCs w:val="20"/>
          <w:lang w:val="de-DE"/>
        </w:rPr>
        <w:t xml:space="preserve"> </w:t>
      </w:r>
      <w:r w:rsidRPr="007C10C8">
        <w:rPr>
          <w:szCs w:val="20"/>
          <w:lang w:val="de-DE"/>
        </w:rPr>
        <w:t>Golfplätzen</w:t>
      </w:r>
      <w:r w:rsidR="00CE448E">
        <w:rPr>
          <w:szCs w:val="20"/>
          <w:lang w:val="de-DE"/>
        </w:rPr>
        <w:t>,</w:t>
      </w:r>
      <w:r w:rsidRPr="007C10C8">
        <w:rPr>
          <w:szCs w:val="20"/>
          <w:lang w:val="de-DE"/>
        </w:rPr>
        <w:t xml:space="preserve"> Grünflächen </w:t>
      </w:r>
      <w:r w:rsidR="00CE448E">
        <w:rPr>
          <w:szCs w:val="20"/>
          <w:lang w:val="de-DE"/>
        </w:rPr>
        <w:t xml:space="preserve">und </w:t>
      </w:r>
      <w:r w:rsidRPr="007C10C8">
        <w:rPr>
          <w:szCs w:val="20"/>
          <w:lang w:val="de-DE"/>
        </w:rPr>
        <w:t>Industriezonen. Von den bisher für die Bewässerung erschlossenen landwirtschaftlichen Gebieten (8.4</w:t>
      </w:r>
      <w:r w:rsidR="007C10C8">
        <w:rPr>
          <w:szCs w:val="20"/>
          <w:lang w:val="de-DE"/>
        </w:rPr>
        <w:t>35</w:t>
      </w:r>
      <w:r w:rsidRPr="007C10C8">
        <w:rPr>
          <w:szCs w:val="20"/>
          <w:lang w:val="de-DE"/>
        </w:rPr>
        <w:t xml:space="preserve"> ha), werden jedoch nur 2.734 ha mit aufbereitetem Wasser bewässert.</w:t>
      </w:r>
      <w:r w:rsidR="007C10C8" w:rsidRPr="007C10C8">
        <w:rPr>
          <w:rStyle w:val="Appelnotedebasdep"/>
          <w:szCs w:val="20"/>
          <w:lang w:val="de-DE"/>
        </w:rPr>
        <w:footnoteReference w:id="7"/>
      </w:r>
    </w:p>
    <w:p w14:paraId="3B80E9E6" w14:textId="77777777" w:rsidR="002E38E9" w:rsidRPr="00214A40" w:rsidRDefault="002E38E9" w:rsidP="00214A40">
      <w:pPr>
        <w:pStyle w:val="Titre2"/>
        <w:rPr>
          <w:lang w:val="de-DE"/>
        </w:rPr>
      </w:pPr>
      <w:bookmarkStart w:id="5" w:name="_Toc75449478"/>
      <w:bookmarkStart w:id="6" w:name="_Toc75947705"/>
      <w:bookmarkStart w:id="7" w:name="_Toc77935172"/>
      <w:r w:rsidRPr="002E38E9">
        <w:rPr>
          <w:lang w:val="de-DE"/>
        </w:rPr>
        <w:t>Entsalzungsanlagen</w:t>
      </w:r>
      <w:bookmarkEnd w:id="5"/>
      <w:bookmarkEnd w:id="6"/>
      <w:bookmarkEnd w:id="7"/>
    </w:p>
    <w:p w14:paraId="5B99EDED" w14:textId="4396753B" w:rsidR="002E38E9" w:rsidRPr="002E38E9" w:rsidRDefault="002E38E9" w:rsidP="00F44E5A">
      <w:pPr>
        <w:spacing w:before="240" w:line="276" w:lineRule="auto"/>
        <w:jc w:val="both"/>
        <w:rPr>
          <w:szCs w:val="20"/>
          <w:lang w:val="de-DE"/>
        </w:rPr>
      </w:pPr>
      <w:r w:rsidRPr="002E38E9">
        <w:rPr>
          <w:szCs w:val="20"/>
          <w:lang w:val="de-DE"/>
        </w:rPr>
        <w:t>Aufgrund seines ariden Klimas kämpft der Süden von Tunesien seit Jahren gegen den hohen Wasserverbrauch und die damit einhergehende Überbeanspruchung der natürlichen Wasserressourcen an. Bei der Lösung des Problems setzt der Staat auf die Technik von Brack- und Meerwasserentsalzungsanlagen. Viele Städte und Inseln in Tunesien sind auf Entsalzungsanlagen angewiesen. Die</w:t>
      </w:r>
      <w:r w:rsidRPr="002E38E9">
        <w:rPr>
          <w:spacing w:val="-3"/>
          <w:szCs w:val="20"/>
          <w:lang w:val="de-DE"/>
        </w:rPr>
        <w:t xml:space="preserve"> </w:t>
      </w:r>
      <w:r w:rsidRPr="002E38E9">
        <w:rPr>
          <w:szCs w:val="20"/>
          <w:lang w:val="de-DE"/>
        </w:rPr>
        <w:t>E</w:t>
      </w:r>
      <w:r w:rsidRPr="002E38E9">
        <w:rPr>
          <w:spacing w:val="1"/>
          <w:szCs w:val="20"/>
          <w:lang w:val="de-DE"/>
        </w:rPr>
        <w:t>n</w:t>
      </w:r>
      <w:r w:rsidRPr="002E38E9">
        <w:rPr>
          <w:szCs w:val="20"/>
          <w:lang w:val="de-DE"/>
        </w:rPr>
        <w:t>t</w:t>
      </w:r>
      <w:r w:rsidRPr="002E38E9">
        <w:rPr>
          <w:spacing w:val="1"/>
          <w:szCs w:val="20"/>
          <w:lang w:val="de-DE"/>
        </w:rPr>
        <w:t>s</w:t>
      </w:r>
      <w:r w:rsidRPr="002E38E9">
        <w:rPr>
          <w:szCs w:val="20"/>
          <w:lang w:val="de-DE"/>
        </w:rPr>
        <w:t>alz</w:t>
      </w:r>
      <w:r w:rsidRPr="002E38E9">
        <w:rPr>
          <w:spacing w:val="1"/>
          <w:szCs w:val="20"/>
          <w:lang w:val="de-DE"/>
        </w:rPr>
        <w:t>un</w:t>
      </w:r>
      <w:r w:rsidRPr="002E38E9">
        <w:rPr>
          <w:szCs w:val="20"/>
          <w:lang w:val="de-DE"/>
        </w:rPr>
        <w:t>g</w:t>
      </w:r>
      <w:r w:rsidRPr="002E38E9">
        <w:rPr>
          <w:spacing w:val="-9"/>
          <w:szCs w:val="20"/>
          <w:lang w:val="de-DE"/>
        </w:rPr>
        <w:t xml:space="preserve"> </w:t>
      </w:r>
      <w:r w:rsidRPr="002E38E9">
        <w:rPr>
          <w:spacing w:val="-1"/>
          <w:szCs w:val="20"/>
          <w:lang w:val="de-DE"/>
        </w:rPr>
        <w:t>v</w:t>
      </w:r>
      <w:r w:rsidRPr="002E38E9">
        <w:rPr>
          <w:spacing w:val="1"/>
          <w:szCs w:val="20"/>
          <w:lang w:val="de-DE"/>
        </w:rPr>
        <w:t>o</w:t>
      </w:r>
      <w:r w:rsidRPr="002E38E9">
        <w:rPr>
          <w:szCs w:val="20"/>
          <w:lang w:val="de-DE"/>
        </w:rPr>
        <w:t>n</w:t>
      </w:r>
      <w:r w:rsidRPr="002E38E9">
        <w:rPr>
          <w:spacing w:val="-2"/>
          <w:szCs w:val="20"/>
          <w:lang w:val="de-DE"/>
        </w:rPr>
        <w:t xml:space="preserve"> </w:t>
      </w:r>
      <w:r w:rsidRPr="002E38E9">
        <w:rPr>
          <w:spacing w:val="1"/>
          <w:szCs w:val="20"/>
          <w:lang w:val="de-DE"/>
        </w:rPr>
        <w:t>B</w:t>
      </w:r>
      <w:r w:rsidRPr="002E38E9">
        <w:rPr>
          <w:spacing w:val="-1"/>
          <w:szCs w:val="20"/>
          <w:lang w:val="de-DE"/>
        </w:rPr>
        <w:t>r</w:t>
      </w:r>
      <w:r w:rsidRPr="002E38E9">
        <w:rPr>
          <w:szCs w:val="20"/>
          <w:lang w:val="de-DE"/>
        </w:rPr>
        <w:t>ac</w:t>
      </w:r>
      <w:r w:rsidRPr="002E38E9">
        <w:rPr>
          <w:spacing w:val="-2"/>
          <w:szCs w:val="20"/>
          <w:lang w:val="de-DE"/>
        </w:rPr>
        <w:t>k</w:t>
      </w:r>
      <w:r w:rsidRPr="002E38E9">
        <w:rPr>
          <w:szCs w:val="20"/>
          <w:lang w:val="de-DE"/>
        </w:rPr>
        <w:t>was</w:t>
      </w:r>
      <w:r w:rsidRPr="002E38E9">
        <w:rPr>
          <w:spacing w:val="1"/>
          <w:szCs w:val="20"/>
          <w:lang w:val="de-DE"/>
        </w:rPr>
        <w:t>s</w:t>
      </w:r>
      <w:r w:rsidRPr="002E38E9">
        <w:rPr>
          <w:szCs w:val="20"/>
          <w:lang w:val="de-DE"/>
        </w:rPr>
        <w:t>er</w:t>
      </w:r>
      <w:r w:rsidRPr="002E38E9">
        <w:rPr>
          <w:spacing w:val="-11"/>
          <w:szCs w:val="20"/>
          <w:lang w:val="de-DE"/>
        </w:rPr>
        <w:t xml:space="preserve"> </w:t>
      </w:r>
      <w:r w:rsidRPr="002E38E9">
        <w:rPr>
          <w:szCs w:val="20"/>
          <w:lang w:val="de-DE"/>
        </w:rPr>
        <w:t>w</w:t>
      </w:r>
      <w:r w:rsidRPr="002E38E9">
        <w:rPr>
          <w:spacing w:val="1"/>
          <w:szCs w:val="20"/>
          <w:lang w:val="de-DE"/>
        </w:rPr>
        <w:t>u</w:t>
      </w:r>
      <w:r w:rsidRPr="002E38E9">
        <w:rPr>
          <w:spacing w:val="-1"/>
          <w:szCs w:val="20"/>
          <w:lang w:val="de-DE"/>
        </w:rPr>
        <w:t>r</w:t>
      </w:r>
      <w:r w:rsidRPr="002E38E9">
        <w:rPr>
          <w:spacing w:val="1"/>
          <w:szCs w:val="20"/>
          <w:lang w:val="de-DE"/>
        </w:rPr>
        <w:t>d</w:t>
      </w:r>
      <w:r w:rsidRPr="002E38E9">
        <w:rPr>
          <w:szCs w:val="20"/>
          <w:lang w:val="de-DE"/>
        </w:rPr>
        <w:t>e</w:t>
      </w:r>
      <w:r w:rsidRPr="002E38E9">
        <w:rPr>
          <w:spacing w:val="-5"/>
          <w:szCs w:val="20"/>
          <w:lang w:val="de-DE"/>
        </w:rPr>
        <w:t xml:space="preserve"> </w:t>
      </w:r>
      <w:r w:rsidRPr="002E38E9">
        <w:rPr>
          <w:spacing w:val="1"/>
          <w:szCs w:val="20"/>
          <w:lang w:val="de-DE"/>
        </w:rPr>
        <w:t>s</w:t>
      </w:r>
      <w:r w:rsidRPr="002E38E9">
        <w:rPr>
          <w:szCs w:val="20"/>
          <w:lang w:val="de-DE"/>
        </w:rPr>
        <w:t>eit</w:t>
      </w:r>
      <w:r w:rsidRPr="002E38E9">
        <w:rPr>
          <w:spacing w:val="-3"/>
          <w:szCs w:val="20"/>
          <w:lang w:val="de-DE"/>
        </w:rPr>
        <w:t xml:space="preserve"> </w:t>
      </w:r>
      <w:r w:rsidRPr="002E38E9">
        <w:rPr>
          <w:spacing w:val="1"/>
          <w:szCs w:val="20"/>
          <w:lang w:val="de-DE"/>
        </w:rPr>
        <w:t>d</w:t>
      </w:r>
      <w:r w:rsidRPr="002E38E9">
        <w:rPr>
          <w:szCs w:val="20"/>
          <w:lang w:val="de-DE"/>
        </w:rPr>
        <w:t>en</w:t>
      </w:r>
      <w:r w:rsidRPr="002E38E9">
        <w:rPr>
          <w:spacing w:val="-4"/>
          <w:szCs w:val="20"/>
          <w:lang w:val="de-DE"/>
        </w:rPr>
        <w:t xml:space="preserve"> </w:t>
      </w:r>
      <w:r w:rsidRPr="002E38E9">
        <w:rPr>
          <w:spacing w:val="1"/>
          <w:szCs w:val="20"/>
          <w:lang w:val="de-DE"/>
        </w:rPr>
        <w:t>1</w:t>
      </w:r>
      <w:r w:rsidRPr="002E38E9">
        <w:rPr>
          <w:spacing w:val="-1"/>
          <w:szCs w:val="20"/>
          <w:lang w:val="de-DE"/>
        </w:rPr>
        <w:t>9</w:t>
      </w:r>
      <w:r w:rsidRPr="002E38E9">
        <w:rPr>
          <w:spacing w:val="1"/>
          <w:szCs w:val="20"/>
          <w:lang w:val="de-DE"/>
        </w:rPr>
        <w:t>80</w:t>
      </w:r>
      <w:r w:rsidRPr="002E38E9">
        <w:rPr>
          <w:szCs w:val="20"/>
          <w:lang w:val="de-DE"/>
        </w:rPr>
        <w:t>er</w:t>
      </w:r>
      <w:r w:rsidRPr="002E38E9">
        <w:rPr>
          <w:spacing w:val="-6"/>
          <w:szCs w:val="20"/>
          <w:lang w:val="de-DE"/>
        </w:rPr>
        <w:t xml:space="preserve"> </w:t>
      </w:r>
      <w:r w:rsidRPr="002E38E9">
        <w:rPr>
          <w:szCs w:val="20"/>
          <w:lang w:val="de-DE"/>
        </w:rPr>
        <w:t>Ja</w:t>
      </w:r>
      <w:r w:rsidRPr="002E38E9">
        <w:rPr>
          <w:spacing w:val="1"/>
          <w:szCs w:val="20"/>
          <w:lang w:val="de-DE"/>
        </w:rPr>
        <w:t>h</w:t>
      </w:r>
      <w:r w:rsidRPr="002E38E9">
        <w:rPr>
          <w:spacing w:val="-1"/>
          <w:szCs w:val="20"/>
          <w:lang w:val="de-DE"/>
        </w:rPr>
        <w:t>r</w:t>
      </w:r>
      <w:r w:rsidRPr="002E38E9">
        <w:rPr>
          <w:szCs w:val="20"/>
          <w:lang w:val="de-DE"/>
        </w:rPr>
        <w:t>en</w:t>
      </w:r>
      <w:r w:rsidRPr="002E38E9">
        <w:rPr>
          <w:spacing w:val="-4"/>
          <w:szCs w:val="20"/>
          <w:lang w:val="de-DE"/>
        </w:rPr>
        <w:t xml:space="preserve"> </w:t>
      </w:r>
      <w:r w:rsidRPr="002E38E9">
        <w:rPr>
          <w:spacing w:val="-2"/>
          <w:szCs w:val="20"/>
          <w:lang w:val="de-DE"/>
        </w:rPr>
        <w:t>i</w:t>
      </w:r>
      <w:r w:rsidRPr="002E38E9">
        <w:rPr>
          <w:szCs w:val="20"/>
          <w:lang w:val="de-DE"/>
        </w:rPr>
        <w:t>n zwei</w:t>
      </w:r>
      <w:r w:rsidRPr="002E38E9">
        <w:rPr>
          <w:spacing w:val="-5"/>
          <w:szCs w:val="20"/>
          <w:lang w:val="de-DE"/>
        </w:rPr>
        <w:t xml:space="preserve"> </w:t>
      </w:r>
      <w:r w:rsidRPr="002E38E9">
        <w:rPr>
          <w:szCs w:val="20"/>
          <w:lang w:val="de-DE"/>
        </w:rPr>
        <w:t>stä</w:t>
      </w:r>
      <w:r w:rsidRPr="002E38E9">
        <w:rPr>
          <w:spacing w:val="1"/>
          <w:szCs w:val="20"/>
          <w:lang w:val="de-DE"/>
        </w:rPr>
        <w:t>d</w:t>
      </w:r>
      <w:r w:rsidRPr="002E38E9">
        <w:rPr>
          <w:szCs w:val="20"/>
          <w:lang w:val="de-DE"/>
        </w:rPr>
        <w:t>ti</w:t>
      </w:r>
      <w:r w:rsidRPr="002E38E9">
        <w:rPr>
          <w:spacing w:val="1"/>
          <w:szCs w:val="20"/>
          <w:lang w:val="de-DE"/>
        </w:rPr>
        <w:t>s</w:t>
      </w:r>
      <w:r w:rsidRPr="002E38E9">
        <w:rPr>
          <w:spacing w:val="-3"/>
          <w:szCs w:val="20"/>
          <w:lang w:val="de-DE"/>
        </w:rPr>
        <w:t>c</w:t>
      </w:r>
      <w:r w:rsidRPr="002E38E9">
        <w:rPr>
          <w:spacing w:val="1"/>
          <w:szCs w:val="20"/>
          <w:lang w:val="de-DE"/>
        </w:rPr>
        <w:t>h</w:t>
      </w:r>
      <w:r w:rsidRPr="002E38E9">
        <w:rPr>
          <w:szCs w:val="20"/>
          <w:lang w:val="de-DE"/>
        </w:rPr>
        <w:t>en</w:t>
      </w:r>
      <w:r w:rsidRPr="002E38E9">
        <w:rPr>
          <w:spacing w:val="-7"/>
          <w:szCs w:val="20"/>
          <w:lang w:val="de-DE"/>
        </w:rPr>
        <w:t xml:space="preserve"> </w:t>
      </w:r>
      <w:r w:rsidRPr="002E38E9">
        <w:rPr>
          <w:spacing w:val="1"/>
          <w:szCs w:val="20"/>
          <w:lang w:val="de-DE"/>
        </w:rPr>
        <w:t>B</w:t>
      </w:r>
      <w:r w:rsidRPr="002E38E9">
        <w:rPr>
          <w:szCs w:val="20"/>
          <w:lang w:val="de-DE"/>
        </w:rPr>
        <w:t>al</w:t>
      </w:r>
      <w:r w:rsidRPr="002E38E9">
        <w:rPr>
          <w:spacing w:val="-2"/>
          <w:szCs w:val="20"/>
          <w:lang w:val="de-DE"/>
        </w:rPr>
        <w:t>l</w:t>
      </w:r>
      <w:r w:rsidRPr="002E38E9">
        <w:rPr>
          <w:spacing w:val="1"/>
          <w:szCs w:val="20"/>
          <w:lang w:val="de-DE"/>
        </w:rPr>
        <w:t>un</w:t>
      </w:r>
      <w:r w:rsidRPr="002E38E9">
        <w:rPr>
          <w:spacing w:val="-1"/>
          <w:szCs w:val="20"/>
          <w:lang w:val="de-DE"/>
        </w:rPr>
        <w:t>g</w:t>
      </w:r>
      <w:r w:rsidRPr="002E38E9">
        <w:rPr>
          <w:szCs w:val="20"/>
          <w:lang w:val="de-DE"/>
        </w:rPr>
        <w:t>s</w:t>
      </w:r>
      <w:r w:rsidRPr="002E38E9">
        <w:rPr>
          <w:spacing w:val="-3"/>
          <w:szCs w:val="20"/>
          <w:lang w:val="de-DE"/>
        </w:rPr>
        <w:t>z</w:t>
      </w:r>
      <w:r w:rsidRPr="002E38E9">
        <w:rPr>
          <w:szCs w:val="20"/>
          <w:lang w:val="de-DE"/>
        </w:rPr>
        <w:t>e</w:t>
      </w:r>
      <w:r w:rsidRPr="002E38E9">
        <w:rPr>
          <w:spacing w:val="1"/>
          <w:szCs w:val="20"/>
          <w:lang w:val="de-DE"/>
        </w:rPr>
        <w:t>n</w:t>
      </w:r>
      <w:r w:rsidRPr="002E38E9">
        <w:rPr>
          <w:szCs w:val="20"/>
          <w:lang w:val="de-DE"/>
        </w:rPr>
        <w:t>t</w:t>
      </w:r>
      <w:r w:rsidRPr="002E38E9">
        <w:rPr>
          <w:spacing w:val="-1"/>
          <w:szCs w:val="20"/>
          <w:lang w:val="de-DE"/>
        </w:rPr>
        <w:t>r</w:t>
      </w:r>
      <w:r w:rsidRPr="002E38E9">
        <w:rPr>
          <w:szCs w:val="20"/>
          <w:lang w:val="de-DE"/>
        </w:rPr>
        <w:t>en</w:t>
      </w:r>
      <w:r w:rsidRPr="002E38E9">
        <w:rPr>
          <w:spacing w:val="-11"/>
          <w:szCs w:val="20"/>
          <w:lang w:val="de-DE"/>
        </w:rPr>
        <w:t xml:space="preserve"> </w:t>
      </w:r>
      <w:r w:rsidRPr="002E38E9">
        <w:rPr>
          <w:spacing w:val="-1"/>
          <w:w w:val="99"/>
          <w:szCs w:val="20"/>
          <w:lang w:val="de-DE"/>
        </w:rPr>
        <w:t>(</w:t>
      </w:r>
      <w:proofErr w:type="spellStart"/>
      <w:r w:rsidRPr="002E38E9">
        <w:rPr>
          <w:szCs w:val="20"/>
          <w:lang w:val="de-DE"/>
        </w:rPr>
        <w:t>Gabés</w:t>
      </w:r>
      <w:proofErr w:type="spellEnd"/>
      <w:r w:rsidRPr="002E38E9">
        <w:rPr>
          <w:szCs w:val="20"/>
          <w:lang w:val="de-DE"/>
        </w:rPr>
        <w:t xml:space="preserve"> 1995, Zarzis 1999) und auf zwei Inseln (</w:t>
      </w:r>
      <w:proofErr w:type="spellStart"/>
      <w:r w:rsidRPr="002E38E9">
        <w:rPr>
          <w:szCs w:val="20"/>
          <w:lang w:val="de-DE"/>
        </w:rPr>
        <w:t>Kerkennah</w:t>
      </w:r>
      <w:proofErr w:type="spellEnd"/>
      <w:r w:rsidRPr="002E38E9">
        <w:rPr>
          <w:szCs w:val="20"/>
          <w:lang w:val="de-DE"/>
        </w:rPr>
        <w:t xml:space="preserve"> 1983, Djerba 2000) im Südwesten des Landes zur Verbesserung der Trinkwasserqualität vorangetrieben.</w:t>
      </w:r>
      <w:r>
        <w:rPr>
          <w:rStyle w:val="Appelnotedebasdep"/>
          <w:szCs w:val="20"/>
        </w:rPr>
        <w:footnoteReference w:id="8"/>
      </w:r>
      <w:r w:rsidRPr="002E38E9">
        <w:rPr>
          <w:szCs w:val="20"/>
          <w:lang w:val="de-DE"/>
        </w:rPr>
        <w:t xml:space="preserve"> </w:t>
      </w:r>
    </w:p>
    <w:p w14:paraId="3B4980FA" w14:textId="77777777" w:rsidR="002E38E9" w:rsidRPr="002E38E9" w:rsidRDefault="002E38E9" w:rsidP="00F44E5A">
      <w:pPr>
        <w:spacing w:line="276" w:lineRule="auto"/>
        <w:jc w:val="both"/>
        <w:rPr>
          <w:szCs w:val="20"/>
          <w:lang w:val="de-DE"/>
        </w:rPr>
      </w:pPr>
      <w:r w:rsidRPr="002E38E9">
        <w:rPr>
          <w:szCs w:val="20"/>
          <w:lang w:val="de-DE"/>
        </w:rPr>
        <w:t>SONEDE plant die verstärkte Nutzung der vorhandenen und den Bau neuer Anlagen zur Entsalzung von Brack- und Meerwasser im Süden Tunesiens. Zur Trinkwasseraufbereitung, mit dem Ziel einer Salzkonzentration von unter 1,5 g/l, sollen in einem Zweiphasenplan zunächst zehn Brackwasser-Entsalzungsanlagen mit einer Gesamtkapazität von 36.200 m³ pro Tag gebaut und drei weitere Anlagen zur Mischung von Brackwasser mit Trinkwasser errichtet werden. In einer zweiten Projektphase sollen weitere acht Entsalzungsanlagen mit einer Gesamtkapazität von 31.000 m³ pro Tag gebaut werden. Die erste Phase dieses Programms zur Verbesserung der Trinkwasserqualität in Südosttunesien wurde gegen Ende des Jahres 2017 abgeschlossen.</w:t>
      </w:r>
    </w:p>
    <w:p w14:paraId="0DE5D588" w14:textId="57F993FB" w:rsidR="002E38E9" w:rsidRDefault="002E38E9" w:rsidP="00F44E5A">
      <w:pPr>
        <w:autoSpaceDE w:val="0"/>
        <w:autoSpaceDN w:val="0"/>
        <w:adjustRightInd w:val="0"/>
        <w:spacing w:line="276" w:lineRule="auto"/>
        <w:jc w:val="both"/>
        <w:rPr>
          <w:szCs w:val="20"/>
          <w:lang w:val="de-DE"/>
        </w:rPr>
      </w:pPr>
      <w:r w:rsidRPr="002E38E9">
        <w:rPr>
          <w:szCs w:val="20"/>
          <w:lang w:val="de-DE"/>
        </w:rPr>
        <w:lastRenderedPageBreak/>
        <w:t xml:space="preserve">Trotz dieses zweiphasigen Großprojektes zur Errichtung von Brackwasserentsalzungsanlagen benötigen der Süden und Südosten Tunesiens weitere Maßnahmen zur Sicherstellung der Trinkwasserversorgung seiner Einwohner. Aufgrund dessen hat SONEDE sich auf die Errichtung von Meerwasserentsalzungsanlagen konzentriert und im Mai 2018 auf der Insel Djerba die erste Meerwasserentsalzungsanlage Tunesiens in Betrieb genommen. Zwei weitere Anlagen sollen in den Regionen </w:t>
      </w:r>
      <w:proofErr w:type="spellStart"/>
      <w:r w:rsidRPr="002E38E9">
        <w:rPr>
          <w:szCs w:val="20"/>
          <w:lang w:val="de-DE"/>
        </w:rPr>
        <w:t>Gabés</w:t>
      </w:r>
      <w:proofErr w:type="spellEnd"/>
      <w:r w:rsidRPr="002E38E9">
        <w:rPr>
          <w:szCs w:val="20"/>
          <w:lang w:val="de-DE"/>
        </w:rPr>
        <w:t xml:space="preserve"> und Sfax folgen.</w:t>
      </w:r>
    </w:p>
    <w:p w14:paraId="385D912E" w14:textId="3D48EF22" w:rsidR="00214A40" w:rsidRPr="00214A40" w:rsidRDefault="00214A40" w:rsidP="00170C8A">
      <w:pPr>
        <w:pStyle w:val="Titre2"/>
        <w:spacing w:after="240"/>
        <w:rPr>
          <w:lang w:val="de-DE"/>
        </w:rPr>
      </w:pPr>
      <w:r w:rsidRPr="00214A40">
        <w:rPr>
          <w:lang w:val="de-DE"/>
        </w:rPr>
        <w:t>Marktchancen</w:t>
      </w:r>
    </w:p>
    <w:p w14:paraId="7FF436D8" w14:textId="21A454FF" w:rsidR="00717257" w:rsidRPr="00717257" w:rsidRDefault="00717257" w:rsidP="00F44E5A">
      <w:pPr>
        <w:spacing w:line="276" w:lineRule="auto"/>
        <w:jc w:val="both"/>
        <w:rPr>
          <w:rFonts w:cstheme="minorHAnsi"/>
          <w:lang w:val="de-DE"/>
        </w:rPr>
      </w:pPr>
      <w:r w:rsidRPr="00717257">
        <w:rPr>
          <w:rFonts w:cstheme="minorHAnsi"/>
          <w:lang w:val="de-DE"/>
        </w:rPr>
        <w:t xml:space="preserve">Da der Trend des Wasserverbrauches in Tunesien nach oben geht, ist davon auszugehen, dass Tunesien in den nächsten Jahren und Jahrzehnten noch weitere Entsalzungsanlagen (vor allem für Meereswasser) benötigt. Hier bietet sich eine vielversprechende Möglichkeit für deutsche Unternehmen, die sich auf den Bau solcher Entsalzungsanlagen spezialisiert haben oder deren Produktportfolio spezielle technische Lösungen beinhaltet, die in Entsalzungsanlagen von Nutzen sind. Vor allem für Konstruktionsunternehmen ist der Markt interessant, da SONEDE dringend nach Auftragnehmern sucht. Im Fall der Entsalzungsanlage von </w:t>
      </w:r>
      <w:proofErr w:type="spellStart"/>
      <w:r w:rsidRPr="00717257">
        <w:rPr>
          <w:rFonts w:cstheme="minorHAnsi"/>
          <w:lang w:val="de-DE"/>
        </w:rPr>
        <w:t>Zarat</w:t>
      </w:r>
      <w:proofErr w:type="spellEnd"/>
      <w:r w:rsidRPr="00717257">
        <w:rPr>
          <w:rFonts w:cstheme="minorHAnsi"/>
          <w:lang w:val="de-DE"/>
        </w:rPr>
        <w:t xml:space="preserve">, gab es beispielsweise aufgrund fehlender Bewerbungen keinen Wettbewerb bei der Auftragsvergabe. Als Folge dessen erhielt das indische Unternehmen WABAG als einziger Bewerber den Auftrag. Gleichzeitig werden die großen Meerwasserentsalzungsanlagen meist als Betreibermodelle (BOO – </w:t>
      </w:r>
      <w:proofErr w:type="spellStart"/>
      <w:r w:rsidRPr="00717257">
        <w:rPr>
          <w:rFonts w:cstheme="minorHAnsi"/>
          <w:lang w:val="de-DE"/>
        </w:rPr>
        <w:t>build</w:t>
      </w:r>
      <w:proofErr w:type="spellEnd"/>
      <w:r w:rsidRPr="00717257">
        <w:rPr>
          <w:rFonts w:cstheme="minorHAnsi"/>
          <w:lang w:val="de-DE"/>
        </w:rPr>
        <w:t>-own-</w:t>
      </w:r>
      <w:proofErr w:type="spellStart"/>
      <w:r w:rsidRPr="00717257">
        <w:rPr>
          <w:rFonts w:cstheme="minorHAnsi"/>
          <w:lang w:val="de-DE"/>
        </w:rPr>
        <w:t>operate</w:t>
      </w:r>
      <w:proofErr w:type="spellEnd"/>
      <w:r w:rsidRPr="00717257">
        <w:rPr>
          <w:rFonts w:cstheme="minorHAnsi"/>
          <w:lang w:val="de-DE"/>
        </w:rPr>
        <w:t>) konzipiert und oft mit eigenem Kraftwerk zur Energieerzeugung ausgestattet. Dadurch ergeben sich Chancen für deutsche Unternehmen oder Konsortien zusammen mit tunesischen Partnern, den Bau und Betrieb der Anlage durchzuführen. Zum jetzigen Zeitpunkt ist der Markt für Entsalzungsanlagen in Tunesien noch in der Anfangsphase, verspricht aber zukünftiges Wachstum. Deutsche Unternehmen könnten darum sehr stark von einem frühen Markteintritt profitieren.</w:t>
      </w:r>
    </w:p>
    <w:p w14:paraId="56E8F494" w14:textId="77777777" w:rsidR="00717257" w:rsidRPr="00717257" w:rsidRDefault="00717257" w:rsidP="00F44E5A">
      <w:pPr>
        <w:spacing w:line="276" w:lineRule="auto"/>
        <w:jc w:val="both"/>
        <w:rPr>
          <w:rFonts w:cstheme="minorHAnsi"/>
          <w:lang w:val="de-DE"/>
        </w:rPr>
      </w:pPr>
      <w:r w:rsidRPr="00717257">
        <w:rPr>
          <w:rFonts w:cstheme="minorHAnsi"/>
          <w:lang w:val="de-DE"/>
        </w:rPr>
        <w:t xml:space="preserve">Weiterhin entwickelt der tunesische Wassermarkt ein hohes Potenzial in der Nutzung von erneuerbaren Energien und dem Einsatz von Technologien zur Energieeffizienz. Das Thema Energieeffizienz rückte in den letzten Jahren immer mehr in den Fokus des Staates und der Unternehmen. So arbeitet auch SONEDE auf nachhaltigere Modelle bei ihren Produktionsanlagen hin, z. B. setzt sie auf Energieerzeugung durch erneuerbare Energien. So wurde beispielsweise in der Entsalzungsstation der SONEDE in Ben </w:t>
      </w:r>
      <w:proofErr w:type="spellStart"/>
      <w:r w:rsidRPr="00717257">
        <w:rPr>
          <w:rFonts w:cstheme="minorHAnsi"/>
          <w:lang w:val="de-DE"/>
        </w:rPr>
        <w:t>Guerdene</w:t>
      </w:r>
      <w:proofErr w:type="spellEnd"/>
      <w:r w:rsidRPr="00717257">
        <w:rPr>
          <w:rFonts w:cstheme="minorHAnsi"/>
          <w:lang w:val="de-DE"/>
        </w:rPr>
        <w:t xml:space="preserve"> eine Photovoltaikanlage integriert, welche die benötigte Energie für den Betrieb der Anlage liefern soll. Weitere solcher Modelle sollen mit Photovoltaik-, aber auch mit Windkraftanlagen entstehen. Für viele deutsche Unternehmen, die sich auf den Bau solcher Photovoltaik- und Windkraftanlagen spezialisiert haben, bedeuten diese Pläne eine exzellente Möglichkeit, auf dem tunesischen Markt Fuß zu fassen. Zudem ist davon auszugehen, dass SONEDE ihr Energiekonzept in Zukunft sogar noch stärker auf erneuerbare Energien und Energieeffizienz ausrichtet, sodass auch in Zukunft viele Geschäftsmöglichkeiten für deutsche Unternehmen vorhanden sein werden.</w:t>
      </w:r>
    </w:p>
    <w:p w14:paraId="41FBB233" w14:textId="77777777" w:rsidR="00717257" w:rsidRPr="00717257" w:rsidRDefault="00717257" w:rsidP="00F44E5A">
      <w:pPr>
        <w:spacing w:line="276" w:lineRule="auto"/>
        <w:jc w:val="both"/>
        <w:rPr>
          <w:rFonts w:cstheme="minorHAnsi"/>
          <w:lang w:val="de-DE"/>
        </w:rPr>
      </w:pPr>
      <w:r w:rsidRPr="00717257">
        <w:rPr>
          <w:rFonts w:cstheme="minorHAnsi"/>
          <w:lang w:val="de-DE"/>
        </w:rPr>
        <w:t xml:space="preserve">Auch im tunesischen Abwassermarkt gibt es Marktchancen für deutsche Unternehmen. Oft sind die Produktlösungen und Technologien, die deutsche Firmen für die Behandlung von Abwässern anbieten, qualitativ hochwertiger als ihre Konkurrenzprodukte. Damit können zum Beispiel durch eine längere </w:t>
      </w:r>
      <w:r w:rsidRPr="00717257">
        <w:rPr>
          <w:rFonts w:cstheme="minorHAnsi"/>
          <w:lang w:val="de-DE"/>
        </w:rPr>
        <w:lastRenderedPageBreak/>
        <w:t>Nutzungsdauer, Wartungskosten und Neuanschaffungskosten verringert werden. Weiterhin möchte ONAS ihr Abwassernetzwerk immer weiter auf die ländlichen Gegenden des Landes erweitern und benötigt somit auch Unterstützung beim Bau neuer und moderner Kläranlagen. Potenziell interessante Marktchancen bestehen auch in den Bereichen der Wiederverwertung von Klärschlämmen und der Verbesserung der Qualität des gereinigten Wassers.</w:t>
      </w:r>
    </w:p>
    <w:p w14:paraId="6FF01F99" w14:textId="171DD318" w:rsidR="00717257" w:rsidRDefault="00717257" w:rsidP="00F44E5A">
      <w:pPr>
        <w:spacing w:line="276" w:lineRule="auto"/>
        <w:jc w:val="both"/>
        <w:rPr>
          <w:rFonts w:cstheme="minorHAnsi"/>
          <w:lang w:val="de-DE"/>
        </w:rPr>
      </w:pPr>
      <w:r w:rsidRPr="00717257">
        <w:rPr>
          <w:rFonts w:cstheme="minorHAnsi"/>
          <w:lang w:val="de-DE"/>
        </w:rPr>
        <w:t>Deutsche Unternehmen könnten in Tunesien sehr viel des eigenen, durch langjährige Erfahrung gesammelten Know-how einbringen. Da die SONEDE noch am Anfang ihres Übergangs hin zu einer Versorgung durch Entsalzungsanlagen steht, gibt es hier noch ein deutliches Lernpotential. Partnerschaften zwischen deutschen und tunesischen Unternehmen könnten dabei ein gutes Mittel für Erfahrungsaustausch sein und wären somit für beide Seiten vorteilhaft. Außerdem genießen deutsche Unternehmen und deutsche Produkte in Tunesien einen sehr guten Ruf bezüglich Qualität und Arbeitsweise.</w:t>
      </w:r>
    </w:p>
    <w:p w14:paraId="5B54E048" w14:textId="77777777" w:rsidR="008D1967" w:rsidRPr="008D1967" w:rsidRDefault="008D1967" w:rsidP="00F44E5A">
      <w:pPr>
        <w:spacing w:line="276" w:lineRule="auto"/>
        <w:jc w:val="both"/>
        <w:rPr>
          <w:rFonts w:cstheme="minorHAnsi"/>
          <w:lang w:val="de-DE"/>
        </w:rPr>
      </w:pPr>
      <w:r w:rsidRPr="008D1967">
        <w:rPr>
          <w:rFonts w:cstheme="minorHAnsi"/>
          <w:lang w:val="de-DE"/>
        </w:rPr>
        <w:t>Verglichen mit der Aktivität französischer Unternehmen, ist bisher allerdings eine geringe Aktivität deutscher Unternehmen zu beobachten. Als aktive Branche sind derzeit Ingenieurbüros zu nennen, die daran beteiligt sind, verschiedenste Konzepte für tunesische Unternehmen zu erstellen.</w:t>
      </w:r>
    </w:p>
    <w:p w14:paraId="3AB8000E" w14:textId="77777777" w:rsidR="008D1967" w:rsidRPr="00717257" w:rsidRDefault="008D1967" w:rsidP="008D1967">
      <w:pPr>
        <w:spacing w:line="276" w:lineRule="auto"/>
        <w:rPr>
          <w:rFonts w:cstheme="minorHAnsi"/>
          <w:lang w:val="de-DE"/>
        </w:rPr>
      </w:pPr>
    </w:p>
    <w:p w14:paraId="26DF26C7" w14:textId="77777777" w:rsidR="001504E7" w:rsidRPr="008B007A" w:rsidRDefault="001504E7" w:rsidP="008D1967">
      <w:pPr>
        <w:spacing w:line="276" w:lineRule="auto"/>
        <w:rPr>
          <w:rFonts w:cstheme="minorHAnsi"/>
          <w:lang w:val="de-DE"/>
        </w:rPr>
      </w:pPr>
      <w:r w:rsidRPr="008B007A">
        <w:rPr>
          <w:rFonts w:cstheme="minorHAnsi"/>
          <w:lang w:val="de-DE"/>
        </w:rPr>
        <w:br w:type="page"/>
      </w:r>
    </w:p>
    <w:p w14:paraId="59DF648D" w14:textId="77777777" w:rsidR="00276CDF" w:rsidRPr="008B007A" w:rsidRDefault="009C6711" w:rsidP="00170C8A">
      <w:pPr>
        <w:pStyle w:val="Titre1"/>
        <w:spacing w:after="240" w:line="276" w:lineRule="auto"/>
        <w:ind w:left="851" w:hanging="284"/>
        <w:rPr>
          <w:rFonts w:asciiTheme="minorHAnsi" w:hAnsiTheme="minorHAnsi" w:cstheme="minorHAnsi"/>
          <w:lang w:val="de-DE"/>
        </w:rPr>
      </w:pPr>
      <w:r w:rsidRPr="008B007A">
        <w:rPr>
          <w:rFonts w:asciiTheme="minorHAnsi" w:hAnsiTheme="minorHAnsi" w:cstheme="minorHAnsi"/>
          <w:lang w:val="de-DE"/>
        </w:rPr>
        <w:lastRenderedPageBreak/>
        <w:t>Stakeholder und wichtige Partner vor Ort</w:t>
      </w:r>
    </w:p>
    <w:p w14:paraId="6A216144" w14:textId="19355404" w:rsidR="003D2CF9" w:rsidRDefault="000D2BF0" w:rsidP="008D1967">
      <w:pPr>
        <w:pStyle w:val="Paragraphedeliste"/>
        <w:numPr>
          <w:ilvl w:val="0"/>
          <w:numId w:val="13"/>
        </w:numPr>
        <w:spacing w:line="276" w:lineRule="auto"/>
        <w:rPr>
          <w:rFonts w:cstheme="minorHAnsi"/>
        </w:rPr>
      </w:pPr>
      <w:r w:rsidRPr="000D2BF0">
        <w:rPr>
          <w:rFonts w:cstheme="minorHAnsi"/>
        </w:rPr>
        <w:t>Ministère de l’Agriculture, des Ressources hydrauliques et de la Pêche</w:t>
      </w:r>
      <w:r w:rsidR="0029151B">
        <w:rPr>
          <w:rFonts w:cstheme="minorHAnsi"/>
        </w:rPr>
        <w:t xml:space="preserve"> (</w:t>
      </w:r>
      <w:proofErr w:type="spellStart"/>
      <w:r w:rsidR="00717257" w:rsidRPr="00717257">
        <w:rPr>
          <w:rFonts w:cstheme="minorHAnsi"/>
        </w:rPr>
        <w:t>Ministerium</w:t>
      </w:r>
      <w:proofErr w:type="spellEnd"/>
      <w:r w:rsidR="00717257" w:rsidRPr="00717257">
        <w:rPr>
          <w:rFonts w:cstheme="minorHAnsi"/>
        </w:rPr>
        <w:t xml:space="preserve"> </w:t>
      </w:r>
      <w:proofErr w:type="spellStart"/>
      <w:r w:rsidR="00717257" w:rsidRPr="00717257">
        <w:rPr>
          <w:rFonts w:cstheme="minorHAnsi"/>
        </w:rPr>
        <w:t>für</w:t>
      </w:r>
      <w:proofErr w:type="spellEnd"/>
      <w:r w:rsidR="00717257" w:rsidRPr="00717257">
        <w:rPr>
          <w:rFonts w:cstheme="minorHAnsi"/>
        </w:rPr>
        <w:t xml:space="preserve"> </w:t>
      </w:r>
      <w:proofErr w:type="spellStart"/>
      <w:r w:rsidR="00717257" w:rsidRPr="00717257">
        <w:rPr>
          <w:rFonts w:cstheme="minorHAnsi"/>
        </w:rPr>
        <w:t>Landwirtschaft</w:t>
      </w:r>
      <w:proofErr w:type="spellEnd"/>
      <w:r w:rsidR="00717257" w:rsidRPr="00717257">
        <w:rPr>
          <w:rFonts w:cstheme="minorHAnsi"/>
        </w:rPr>
        <w:t xml:space="preserve">, </w:t>
      </w:r>
      <w:proofErr w:type="spellStart"/>
      <w:r w:rsidR="00717257" w:rsidRPr="00717257">
        <w:rPr>
          <w:rFonts w:cstheme="minorHAnsi"/>
        </w:rPr>
        <w:t>Wasserressourcen</w:t>
      </w:r>
      <w:proofErr w:type="spellEnd"/>
      <w:r w:rsidR="00717257" w:rsidRPr="00717257">
        <w:rPr>
          <w:rFonts w:cstheme="minorHAnsi"/>
        </w:rPr>
        <w:t xml:space="preserve"> </w:t>
      </w:r>
      <w:proofErr w:type="spellStart"/>
      <w:r w:rsidR="00717257" w:rsidRPr="00717257">
        <w:rPr>
          <w:rFonts w:cstheme="minorHAnsi"/>
        </w:rPr>
        <w:t>und</w:t>
      </w:r>
      <w:proofErr w:type="spellEnd"/>
      <w:r w:rsidR="00717257" w:rsidRPr="00717257">
        <w:rPr>
          <w:rFonts w:cstheme="minorHAnsi"/>
        </w:rPr>
        <w:t xml:space="preserve"> </w:t>
      </w:r>
      <w:proofErr w:type="spellStart"/>
      <w:r w:rsidR="00717257" w:rsidRPr="00717257">
        <w:rPr>
          <w:rFonts w:cstheme="minorHAnsi"/>
        </w:rPr>
        <w:t>Fischerei</w:t>
      </w:r>
      <w:proofErr w:type="spellEnd"/>
      <w:r w:rsidR="0029151B">
        <w:rPr>
          <w:rFonts w:cstheme="minorHAnsi"/>
        </w:rPr>
        <w:t>)</w:t>
      </w:r>
    </w:p>
    <w:p w14:paraId="078E7A00" w14:textId="2FA0EB7A" w:rsidR="00D633AF" w:rsidRDefault="00D633AF" w:rsidP="008D1967">
      <w:pPr>
        <w:pStyle w:val="Paragraphedeliste"/>
        <w:numPr>
          <w:ilvl w:val="0"/>
          <w:numId w:val="13"/>
        </w:numPr>
        <w:spacing w:line="276" w:lineRule="auto"/>
        <w:rPr>
          <w:rFonts w:cstheme="minorHAnsi"/>
        </w:rPr>
      </w:pPr>
      <w:r w:rsidRPr="00D633AF">
        <w:rPr>
          <w:rFonts w:cstheme="minorHAnsi"/>
        </w:rPr>
        <w:t>Société nationale d'exploitation et de distribution des eaux</w:t>
      </w:r>
      <w:r>
        <w:rPr>
          <w:rFonts w:cstheme="minorHAnsi"/>
        </w:rPr>
        <w:t xml:space="preserve"> (SONEDE</w:t>
      </w:r>
      <w:r w:rsidR="0029151B">
        <w:rPr>
          <w:rFonts w:cstheme="minorHAnsi"/>
        </w:rPr>
        <w:t xml:space="preserve">, nationale </w:t>
      </w:r>
      <w:proofErr w:type="spellStart"/>
      <w:r w:rsidR="0029151B">
        <w:rPr>
          <w:rFonts w:cstheme="minorHAnsi"/>
        </w:rPr>
        <w:t>Wassergesellschaft</w:t>
      </w:r>
      <w:proofErr w:type="spellEnd"/>
      <w:r w:rsidR="0029151B">
        <w:rPr>
          <w:rFonts w:cstheme="minorHAnsi"/>
        </w:rPr>
        <w:t>)</w:t>
      </w:r>
    </w:p>
    <w:p w14:paraId="3AB87E83" w14:textId="6E53CAE7" w:rsidR="000D2BF0" w:rsidRDefault="00D633AF" w:rsidP="008D1967">
      <w:pPr>
        <w:pStyle w:val="Paragraphedeliste"/>
        <w:numPr>
          <w:ilvl w:val="0"/>
          <w:numId w:val="13"/>
        </w:numPr>
        <w:spacing w:line="276" w:lineRule="auto"/>
        <w:rPr>
          <w:rFonts w:cstheme="minorHAnsi"/>
        </w:rPr>
      </w:pPr>
      <w:r>
        <w:rPr>
          <w:rFonts w:cstheme="minorHAnsi"/>
        </w:rPr>
        <w:t>Association Eau et Développement (AED</w:t>
      </w:r>
      <w:r w:rsidR="0029151B">
        <w:rPr>
          <w:rFonts w:cstheme="minorHAnsi"/>
        </w:rPr>
        <w:t xml:space="preserve">, </w:t>
      </w:r>
      <w:proofErr w:type="spellStart"/>
      <w:r w:rsidR="0029151B">
        <w:rPr>
          <w:rFonts w:cstheme="minorHAnsi"/>
        </w:rPr>
        <w:t>tunesische</w:t>
      </w:r>
      <w:proofErr w:type="spellEnd"/>
      <w:r w:rsidR="0029151B">
        <w:rPr>
          <w:rFonts w:cstheme="minorHAnsi"/>
        </w:rPr>
        <w:t xml:space="preserve"> NGO</w:t>
      </w:r>
      <w:r>
        <w:rPr>
          <w:rFonts w:cstheme="minorHAnsi"/>
        </w:rPr>
        <w:t xml:space="preserve">) </w:t>
      </w:r>
    </w:p>
    <w:p w14:paraId="1F9BEDFD" w14:textId="5C99EB22" w:rsidR="0029151B" w:rsidRPr="00ED7116" w:rsidRDefault="0029151B" w:rsidP="008D1967">
      <w:pPr>
        <w:pStyle w:val="Paragraphedeliste"/>
        <w:numPr>
          <w:ilvl w:val="0"/>
          <w:numId w:val="13"/>
        </w:numPr>
        <w:spacing w:line="276" w:lineRule="auto"/>
        <w:rPr>
          <w:rFonts w:cstheme="minorHAnsi"/>
        </w:rPr>
      </w:pPr>
      <w:r w:rsidRPr="00ED7116">
        <w:rPr>
          <w:rFonts w:cstheme="minorHAnsi"/>
        </w:rPr>
        <w:t>Office National de l’</w:t>
      </w:r>
      <w:proofErr w:type="spellStart"/>
      <w:r w:rsidRPr="00ED7116">
        <w:rPr>
          <w:rFonts w:cstheme="minorHAnsi"/>
        </w:rPr>
        <w:t>Assainissment</w:t>
      </w:r>
      <w:proofErr w:type="spellEnd"/>
      <w:r w:rsidRPr="00ED7116">
        <w:rPr>
          <w:rFonts w:cstheme="minorHAnsi"/>
        </w:rPr>
        <w:t xml:space="preserve"> (ONAS</w:t>
      </w:r>
      <w:r w:rsidR="00A75C51" w:rsidRPr="00ED7116">
        <w:rPr>
          <w:rFonts w:cstheme="minorHAnsi"/>
        </w:rPr>
        <w:t>)</w:t>
      </w:r>
    </w:p>
    <w:p w14:paraId="108EF047" w14:textId="54410F19" w:rsidR="007715ED" w:rsidRDefault="007715ED" w:rsidP="008D1967">
      <w:pPr>
        <w:pStyle w:val="Paragraphedeliste"/>
        <w:numPr>
          <w:ilvl w:val="0"/>
          <w:numId w:val="13"/>
        </w:numPr>
        <w:spacing w:line="276" w:lineRule="auto"/>
        <w:rPr>
          <w:rFonts w:cstheme="minorHAnsi"/>
          <w:lang w:val="de-DE"/>
        </w:rPr>
      </w:pPr>
      <w:r w:rsidRPr="007715ED">
        <w:rPr>
          <w:rFonts w:cstheme="minorHAnsi"/>
          <w:lang w:val="de-DE"/>
        </w:rPr>
        <w:t xml:space="preserve">Direction Générale du </w:t>
      </w:r>
      <w:proofErr w:type="spellStart"/>
      <w:r w:rsidRPr="007715ED">
        <w:rPr>
          <w:rFonts w:cstheme="minorHAnsi"/>
          <w:lang w:val="de-DE"/>
        </w:rPr>
        <w:t>Génie</w:t>
      </w:r>
      <w:proofErr w:type="spellEnd"/>
      <w:r w:rsidRPr="007715ED">
        <w:rPr>
          <w:rFonts w:cstheme="minorHAnsi"/>
          <w:lang w:val="de-DE"/>
        </w:rPr>
        <w:t xml:space="preserve"> Rural</w:t>
      </w:r>
      <w:r>
        <w:rPr>
          <w:rFonts w:cstheme="minorHAnsi"/>
          <w:lang w:val="de-DE"/>
        </w:rPr>
        <w:t xml:space="preserve"> (DGGR</w:t>
      </w:r>
      <w:r w:rsidRPr="007715ED">
        <w:rPr>
          <w:rFonts w:cstheme="minorHAnsi"/>
          <w:lang w:val="de-DE"/>
        </w:rPr>
        <w:t>): Zuständig für die kleineren ruralen Zonen und ebenfalls dem Ministerium für Landwirtschaft, Wasserressourcen und Fischerei zugeordnet</w:t>
      </w:r>
    </w:p>
    <w:p w14:paraId="5EED0EEB" w14:textId="44CC53EF" w:rsidR="008D1967" w:rsidRDefault="008D1967" w:rsidP="008D1967">
      <w:pPr>
        <w:pStyle w:val="Paragraphedeliste"/>
        <w:numPr>
          <w:ilvl w:val="0"/>
          <w:numId w:val="13"/>
        </w:numPr>
        <w:spacing w:line="276" w:lineRule="auto"/>
        <w:rPr>
          <w:rFonts w:cstheme="minorHAnsi"/>
        </w:rPr>
      </w:pPr>
      <w:r w:rsidRPr="008D1967">
        <w:rPr>
          <w:rFonts w:cstheme="minorHAnsi"/>
        </w:rPr>
        <w:t>Centre International des Technologies de l'Environnement de Tunis (CITET)</w:t>
      </w:r>
    </w:p>
    <w:p w14:paraId="6DBCBE41" w14:textId="642EB526" w:rsidR="008D1967" w:rsidRDefault="008D1967" w:rsidP="008D1967">
      <w:pPr>
        <w:pStyle w:val="Paragraphedeliste"/>
        <w:numPr>
          <w:ilvl w:val="0"/>
          <w:numId w:val="13"/>
        </w:numPr>
        <w:spacing w:line="276" w:lineRule="auto"/>
        <w:rPr>
          <w:rFonts w:cstheme="minorHAnsi"/>
        </w:rPr>
      </w:pPr>
      <w:r w:rsidRPr="008D1967">
        <w:rPr>
          <w:rFonts w:cstheme="minorHAnsi"/>
        </w:rPr>
        <w:t>Centre technique du textile (CETTEX)</w:t>
      </w:r>
    </w:p>
    <w:p w14:paraId="5744E1EC" w14:textId="028D7B2D" w:rsidR="00E679F8" w:rsidRPr="00170C8A" w:rsidRDefault="008D1967" w:rsidP="00170C8A">
      <w:pPr>
        <w:pStyle w:val="Paragraphedeliste"/>
        <w:numPr>
          <w:ilvl w:val="0"/>
          <w:numId w:val="13"/>
        </w:numPr>
        <w:spacing w:line="276" w:lineRule="auto"/>
        <w:rPr>
          <w:rFonts w:cstheme="minorHAnsi"/>
        </w:rPr>
      </w:pPr>
      <w:r w:rsidRPr="008D1967">
        <w:rPr>
          <w:rFonts w:cstheme="minorHAnsi"/>
        </w:rPr>
        <w:t>Agence Nationale de Protection de l'Environnement</w:t>
      </w:r>
      <w:r>
        <w:rPr>
          <w:rFonts w:cstheme="minorHAnsi"/>
        </w:rPr>
        <w:t xml:space="preserve"> (ANPE)</w:t>
      </w:r>
    </w:p>
    <w:sectPr w:rsidR="00E679F8" w:rsidRPr="00170C8A" w:rsidSect="0006624B">
      <w:headerReference w:type="default" r:id="rId9"/>
      <w:footerReference w:type="default" r:id="rId10"/>
      <w:pgSz w:w="11906" w:h="16838"/>
      <w:pgMar w:top="1417" w:right="1417" w:bottom="1843" w:left="1417" w:header="708" w:footer="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AB43B" w14:textId="77777777" w:rsidR="0037589B" w:rsidRDefault="0037589B" w:rsidP="00266546">
      <w:pPr>
        <w:spacing w:after="0" w:line="240" w:lineRule="auto"/>
      </w:pPr>
      <w:r>
        <w:separator/>
      </w:r>
    </w:p>
  </w:endnote>
  <w:endnote w:type="continuationSeparator" w:id="0">
    <w:p w14:paraId="67871C88" w14:textId="77777777" w:rsidR="0037589B" w:rsidRDefault="0037589B" w:rsidP="00266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6" w:type="dxa"/>
      <w:tblInd w:w="-743" w:type="dxa"/>
      <w:tblLook w:val="01E0" w:firstRow="1" w:lastRow="1" w:firstColumn="1" w:lastColumn="1" w:noHBand="0" w:noVBand="0"/>
    </w:tblPr>
    <w:tblGrid>
      <w:gridCol w:w="4145"/>
      <w:gridCol w:w="6361"/>
    </w:tblGrid>
    <w:tr w:rsidR="00CE448E" w:rsidRPr="002F48DD" w14:paraId="3207A8A2" w14:textId="77777777" w:rsidTr="008B007A">
      <w:trPr>
        <w:trHeight w:val="1196"/>
      </w:trPr>
      <w:tc>
        <w:tcPr>
          <w:tcW w:w="4145" w:type="dxa"/>
          <w:shd w:val="clear" w:color="auto" w:fill="auto"/>
          <w:vAlign w:val="center"/>
        </w:tcPr>
        <w:p w14:paraId="0648A51F" w14:textId="77777777" w:rsidR="00CE448E" w:rsidRPr="0006624B" w:rsidRDefault="00CE448E" w:rsidP="0006624B">
          <w:pPr>
            <w:pStyle w:val="Pieddepage"/>
            <w:rPr>
              <w:rFonts w:ascii="Trebuchet MS" w:hAnsi="Trebuchet MS"/>
              <w:color w:val="003882"/>
              <w:sz w:val="18"/>
              <w:szCs w:val="18"/>
            </w:rPr>
          </w:pPr>
          <w:r w:rsidRPr="0006624B">
            <w:rPr>
              <w:rFonts w:ascii="Trebuchet MS" w:hAnsi="Trebuchet MS"/>
              <w:noProof/>
              <w:color w:val="003882"/>
              <w:sz w:val="18"/>
              <w:szCs w:val="18"/>
              <w:lang w:eastAsia="fr-FR"/>
            </w:rPr>
            <w:drawing>
              <wp:inline distT="0" distB="0" distL="0" distR="0" wp14:anchorId="693C26B8" wp14:editId="43A65642">
                <wp:extent cx="2362200" cy="457835"/>
                <wp:effectExtent l="0" t="0" r="0" b="0"/>
                <wp:docPr id="37" name="Image 37" descr="\\192.168.0.6\AHK-Werkzeuge\AHKAllgemein\AHK_LOGO\40ANS\LOGO-AHK-40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0.6\AHK-Werkzeuge\AHKAllgemein\AHK_LOGO\40ANS\LOGO-AHK-40ans.jpg"/>
                        <pic:cNvPicPr>
                          <a:picLocks noChangeAspect="1" noChangeArrowheads="1"/>
                        </pic:cNvPicPr>
                      </pic:nvPicPr>
                      <pic:blipFill rotWithShape="1">
                        <a:blip r:embed="rId1">
                          <a:extLst>
                            <a:ext uri="{28A0092B-C50C-407E-A947-70E740481C1C}">
                              <a14:useLocalDpi xmlns:a14="http://schemas.microsoft.com/office/drawing/2010/main" val="0"/>
                            </a:ext>
                          </a:extLst>
                        </a:blip>
                        <a:srcRect r="21662"/>
                        <a:stretch/>
                      </pic:blipFill>
                      <pic:spPr bwMode="auto">
                        <a:xfrm>
                          <a:off x="0" y="0"/>
                          <a:ext cx="2417969" cy="468644"/>
                        </a:xfrm>
                        <a:prstGeom prst="rect">
                          <a:avLst/>
                        </a:prstGeom>
                        <a:noFill/>
                        <a:ln>
                          <a:noFill/>
                        </a:ln>
                        <a:extLst>
                          <a:ext uri="{53640926-AAD7-44D8-BBD7-CCE9431645EC}">
                            <a14:shadowObscured xmlns:a14="http://schemas.microsoft.com/office/drawing/2010/main"/>
                          </a:ext>
                        </a:extLst>
                      </pic:spPr>
                    </pic:pic>
                  </a:graphicData>
                </a:graphic>
              </wp:inline>
            </w:drawing>
          </w:r>
          <w:r w:rsidRPr="0006624B">
            <w:rPr>
              <w:rFonts w:ascii="Trebuchet MS" w:hAnsi="Trebuchet MS"/>
              <w:color w:val="003882"/>
              <w:sz w:val="18"/>
              <w:szCs w:val="18"/>
            </w:rPr>
            <w:t xml:space="preserve">  </w:t>
          </w:r>
        </w:p>
      </w:tc>
      <w:tc>
        <w:tcPr>
          <w:tcW w:w="6361" w:type="dxa"/>
          <w:shd w:val="clear" w:color="auto" w:fill="auto"/>
          <w:vAlign w:val="center"/>
        </w:tcPr>
        <w:p w14:paraId="2BF34FA9" w14:textId="77777777" w:rsidR="00CE448E" w:rsidRPr="0006624B" w:rsidRDefault="00CE448E" w:rsidP="008B007A">
          <w:pPr>
            <w:pStyle w:val="Pieddepage"/>
            <w:rPr>
              <w:rFonts w:ascii="Trebuchet MS" w:hAnsi="Trebuchet MS"/>
              <w:color w:val="003882"/>
              <w:sz w:val="18"/>
              <w:szCs w:val="18"/>
            </w:rPr>
          </w:pPr>
          <w:r w:rsidRPr="0006624B">
            <w:rPr>
              <w:rFonts w:ascii="Trebuchet MS" w:hAnsi="Trebuchet MS"/>
              <w:color w:val="003882"/>
              <w:sz w:val="18"/>
              <w:szCs w:val="18"/>
            </w:rPr>
            <w:t xml:space="preserve">DEinternational </w:t>
          </w:r>
          <w:proofErr w:type="spellStart"/>
          <w:r w:rsidRPr="0006624B">
            <w:rPr>
              <w:rFonts w:ascii="Trebuchet MS" w:hAnsi="Trebuchet MS"/>
              <w:color w:val="003882"/>
              <w:sz w:val="18"/>
              <w:szCs w:val="18"/>
            </w:rPr>
            <w:t>ist</w:t>
          </w:r>
          <w:proofErr w:type="spellEnd"/>
          <w:r w:rsidRPr="0006624B">
            <w:rPr>
              <w:rFonts w:ascii="Trebuchet MS" w:hAnsi="Trebuchet MS"/>
              <w:color w:val="003882"/>
              <w:sz w:val="18"/>
              <w:szCs w:val="18"/>
            </w:rPr>
            <w:t xml:space="preserve"> die </w:t>
          </w:r>
          <w:proofErr w:type="spellStart"/>
          <w:r w:rsidRPr="0006624B">
            <w:rPr>
              <w:rFonts w:ascii="Trebuchet MS" w:hAnsi="Trebuchet MS"/>
              <w:color w:val="003882"/>
              <w:sz w:val="18"/>
              <w:szCs w:val="18"/>
            </w:rPr>
            <w:t>Servicemarke</w:t>
          </w:r>
          <w:proofErr w:type="spellEnd"/>
          <w:r w:rsidRPr="0006624B">
            <w:rPr>
              <w:rFonts w:ascii="Trebuchet MS" w:hAnsi="Trebuchet MS"/>
              <w:color w:val="003882"/>
              <w:sz w:val="18"/>
              <w:szCs w:val="18"/>
            </w:rPr>
            <w:t xml:space="preserve"> der Deutsch-</w:t>
          </w:r>
          <w:proofErr w:type="spellStart"/>
          <w:r w:rsidRPr="0006624B">
            <w:rPr>
              <w:rFonts w:ascii="Trebuchet MS" w:hAnsi="Trebuchet MS"/>
              <w:color w:val="003882"/>
              <w:sz w:val="18"/>
              <w:szCs w:val="18"/>
            </w:rPr>
            <w:t>Tunesischen</w:t>
          </w:r>
          <w:proofErr w:type="spellEnd"/>
          <w:r w:rsidRPr="0006624B">
            <w:rPr>
              <w:rFonts w:ascii="Trebuchet MS" w:hAnsi="Trebuchet MS"/>
              <w:color w:val="003882"/>
              <w:sz w:val="18"/>
              <w:szCs w:val="18"/>
            </w:rPr>
            <w:t xml:space="preserve"> Industrie- </w:t>
          </w:r>
          <w:proofErr w:type="spellStart"/>
          <w:r w:rsidRPr="0006624B">
            <w:rPr>
              <w:rFonts w:ascii="Trebuchet MS" w:hAnsi="Trebuchet MS"/>
              <w:color w:val="003882"/>
              <w:sz w:val="18"/>
              <w:szCs w:val="18"/>
            </w:rPr>
            <w:t>und</w:t>
          </w:r>
          <w:proofErr w:type="spellEnd"/>
          <w:r w:rsidRPr="0006624B">
            <w:rPr>
              <w:rFonts w:ascii="Trebuchet MS" w:hAnsi="Trebuchet MS"/>
              <w:color w:val="003882"/>
              <w:sz w:val="18"/>
              <w:szCs w:val="18"/>
            </w:rPr>
            <w:t xml:space="preserve"> </w:t>
          </w:r>
          <w:proofErr w:type="spellStart"/>
          <w:r w:rsidRPr="0006624B">
            <w:rPr>
              <w:rFonts w:ascii="Trebuchet MS" w:hAnsi="Trebuchet MS"/>
              <w:color w:val="003882"/>
              <w:sz w:val="18"/>
              <w:szCs w:val="18"/>
            </w:rPr>
            <w:t>Handelskammer</w:t>
          </w:r>
          <w:proofErr w:type="spellEnd"/>
          <w:r>
            <w:rPr>
              <w:rFonts w:ascii="Trebuchet MS" w:hAnsi="Trebuchet MS"/>
              <w:color w:val="003882"/>
              <w:sz w:val="18"/>
              <w:szCs w:val="18"/>
            </w:rPr>
            <w:t xml:space="preserve"> : </w:t>
          </w:r>
          <w:r w:rsidRPr="0006624B">
            <w:rPr>
              <w:rFonts w:ascii="Trebuchet MS" w:hAnsi="Trebuchet MS"/>
              <w:color w:val="003882"/>
              <w:sz w:val="18"/>
              <w:szCs w:val="18"/>
            </w:rPr>
            <w:t>Immeuble le Dôme | Rue du Lac Léman | 1053 Les Berges du Lac | Tunis | Tel +216 71 965 280 | Fax +216 70 014 179</w:t>
          </w:r>
        </w:p>
        <w:p w14:paraId="3043BF1E" w14:textId="77777777" w:rsidR="00CE448E" w:rsidRPr="00D151EB" w:rsidRDefault="00CE448E" w:rsidP="0006624B">
          <w:pPr>
            <w:pStyle w:val="Pieddepage"/>
            <w:rPr>
              <w:rFonts w:ascii="Trebuchet MS" w:hAnsi="Trebuchet MS"/>
              <w:color w:val="003882"/>
              <w:sz w:val="18"/>
              <w:szCs w:val="18"/>
              <w:lang w:val="de-DE"/>
            </w:rPr>
          </w:pPr>
          <w:r w:rsidRPr="00D151EB">
            <w:rPr>
              <w:rFonts w:ascii="Trebuchet MS" w:hAnsi="Trebuchet MS"/>
              <w:color w:val="003882"/>
              <w:sz w:val="18"/>
              <w:szCs w:val="18"/>
              <w:lang w:val="de-DE"/>
            </w:rPr>
            <w:t xml:space="preserve">E-Mail </w:t>
          </w:r>
          <w:r w:rsidRPr="00D151EB">
            <w:rPr>
              <w:rFonts w:ascii="Trebuchet MS" w:hAnsi="Trebuchet MS"/>
              <w:color w:val="003882"/>
              <w:sz w:val="18"/>
              <w:szCs w:val="18"/>
              <w:u w:val="single"/>
              <w:lang w:val="de-DE"/>
            </w:rPr>
            <w:t>m.benhamida@ahktunis.org</w:t>
          </w:r>
          <w:hyperlink r:id="rId2" w:history="1"/>
        </w:p>
      </w:tc>
    </w:tr>
  </w:tbl>
  <w:p w14:paraId="6ADD144F" w14:textId="77777777" w:rsidR="00CE448E" w:rsidRPr="00D151EB" w:rsidRDefault="00CE448E" w:rsidP="0006624B">
    <w:pPr>
      <w:pStyle w:val="Pieddepage"/>
      <w:rPr>
        <w:rFonts w:ascii="Trebuchet MS" w:hAnsi="Trebuchet MS"/>
        <w:color w:val="003882"/>
        <w:sz w:val="18"/>
        <w:szCs w:val="18"/>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9E4B6" w14:textId="77777777" w:rsidR="0037589B" w:rsidRDefault="0037589B" w:rsidP="00266546">
      <w:pPr>
        <w:spacing w:after="0" w:line="240" w:lineRule="auto"/>
      </w:pPr>
      <w:r>
        <w:separator/>
      </w:r>
    </w:p>
  </w:footnote>
  <w:footnote w:type="continuationSeparator" w:id="0">
    <w:p w14:paraId="593190A3" w14:textId="77777777" w:rsidR="0037589B" w:rsidRDefault="0037589B" w:rsidP="00266546">
      <w:pPr>
        <w:spacing w:after="0" w:line="240" w:lineRule="auto"/>
      </w:pPr>
      <w:r>
        <w:continuationSeparator/>
      </w:r>
    </w:p>
  </w:footnote>
  <w:footnote w:id="1">
    <w:p w14:paraId="453D8CA9" w14:textId="06AAB772" w:rsidR="00CE448E" w:rsidRPr="00F56AD0" w:rsidRDefault="00CE448E" w:rsidP="002E38E9">
      <w:pPr>
        <w:pStyle w:val="Notedebasdepage"/>
        <w:rPr>
          <w:rFonts w:cs="Arial"/>
          <w:sz w:val="16"/>
          <w:lang w:val="en-US"/>
        </w:rPr>
      </w:pPr>
      <w:r>
        <w:rPr>
          <w:rStyle w:val="Appelnotedebasdep"/>
          <w:rFonts w:cs="Arial"/>
        </w:rPr>
        <w:footnoteRef/>
      </w:r>
      <w:r w:rsidRPr="00F56AD0">
        <w:rPr>
          <w:rFonts w:cs="Arial"/>
          <w:lang w:val="en-US"/>
        </w:rPr>
        <w:t xml:space="preserve"> </w:t>
      </w:r>
      <w:sdt>
        <w:sdtPr>
          <w:rPr>
            <w:rFonts w:cs="Arial"/>
            <w:lang w:val="en-US"/>
          </w:rPr>
          <w:id w:val="1555349704"/>
          <w:citation/>
        </w:sdtPr>
        <w:sdtEndPr/>
        <w:sdtContent>
          <w:r>
            <w:rPr>
              <w:rFonts w:cs="Arial"/>
              <w:lang w:val="en-US"/>
            </w:rPr>
            <w:fldChar w:fldCharType="begin"/>
          </w:r>
          <w:r w:rsidRPr="00F56AD0">
            <w:rPr>
              <w:rFonts w:cs="Arial"/>
              <w:lang w:val="en-US"/>
            </w:rPr>
            <w:instrText xml:space="preserve"> CITATION pSE21 \l 1031 </w:instrText>
          </w:r>
          <w:r>
            <w:rPr>
              <w:rFonts w:cs="Arial"/>
              <w:lang w:val="en-US"/>
            </w:rPr>
            <w:fldChar w:fldCharType="separate"/>
          </w:r>
          <w:r w:rsidRPr="00F56AD0">
            <w:rPr>
              <w:rFonts w:cs="Arial"/>
              <w:noProof/>
              <w:lang w:val="en-US"/>
            </w:rPr>
            <w:t>(pS-Eau, 2021)</w:t>
          </w:r>
          <w:r>
            <w:rPr>
              <w:rFonts w:cs="Arial"/>
              <w:lang w:val="en-US"/>
            </w:rPr>
            <w:fldChar w:fldCharType="end"/>
          </w:r>
        </w:sdtContent>
      </w:sdt>
      <w:r w:rsidRPr="00F56AD0">
        <w:rPr>
          <w:rFonts w:cs="Arial"/>
          <w:lang w:val="en-US"/>
        </w:rPr>
        <w:t xml:space="preserve"> </w:t>
      </w:r>
      <w:hyperlink r:id="rId1" w:history="1">
        <w:r w:rsidRPr="00F56AD0">
          <w:rPr>
            <w:rStyle w:val="Lienhypertexte"/>
            <w:rFonts w:cs="Arial"/>
            <w:lang w:val="en-US"/>
          </w:rPr>
          <w:t>https://www.pseau.org/outils/ouvrages/ps_eau_fiche_pays_tunisie_2021.pdf</w:t>
        </w:r>
      </w:hyperlink>
      <w:r w:rsidRPr="00F56AD0">
        <w:rPr>
          <w:rFonts w:cs="Arial"/>
          <w:lang w:val="en-US"/>
        </w:rPr>
        <w:t xml:space="preserve"> (</w:t>
      </w:r>
      <w:proofErr w:type="spellStart"/>
      <w:r w:rsidRPr="00F56AD0">
        <w:rPr>
          <w:rFonts w:cs="Arial"/>
          <w:lang w:val="en-US"/>
        </w:rPr>
        <w:t>Abruf</w:t>
      </w:r>
      <w:proofErr w:type="spellEnd"/>
      <w:r w:rsidRPr="00F56AD0">
        <w:rPr>
          <w:rFonts w:cs="Arial"/>
          <w:lang w:val="en-US"/>
        </w:rPr>
        <w:t xml:space="preserve"> </w:t>
      </w:r>
      <w:proofErr w:type="gramStart"/>
      <w:r w:rsidRPr="00F56AD0">
        <w:rPr>
          <w:rFonts w:cs="Arial"/>
          <w:lang w:val="en-US"/>
        </w:rPr>
        <w:t>11.Juni</w:t>
      </w:r>
      <w:proofErr w:type="gramEnd"/>
      <w:r w:rsidRPr="00F56AD0">
        <w:rPr>
          <w:rFonts w:cs="Arial"/>
          <w:lang w:val="en-US"/>
        </w:rPr>
        <w:t xml:space="preserve"> 2021)</w:t>
      </w:r>
    </w:p>
  </w:footnote>
  <w:footnote w:id="2">
    <w:p w14:paraId="654A0975" w14:textId="61B432E5" w:rsidR="00CE448E" w:rsidRPr="00F56AD0" w:rsidRDefault="00CE448E" w:rsidP="002E38E9">
      <w:pPr>
        <w:pStyle w:val="Notedebasdepage"/>
        <w:rPr>
          <w:rFonts w:cs="Arial"/>
          <w:lang w:val="en-US"/>
        </w:rPr>
      </w:pPr>
      <w:r>
        <w:rPr>
          <w:rStyle w:val="Appelnotedebasdep"/>
          <w:rFonts w:cs="Arial"/>
        </w:rPr>
        <w:footnoteRef/>
      </w:r>
      <w:r w:rsidRPr="00F56AD0">
        <w:rPr>
          <w:rFonts w:cs="Arial"/>
          <w:lang w:val="en-US"/>
        </w:rPr>
        <w:t xml:space="preserve"> </w:t>
      </w:r>
      <w:sdt>
        <w:sdtPr>
          <w:rPr>
            <w:rFonts w:cs="Arial"/>
          </w:rPr>
          <w:id w:val="432323369"/>
          <w:citation/>
        </w:sdtPr>
        <w:sdtEndPr/>
        <w:sdtContent>
          <w:r>
            <w:rPr>
              <w:rFonts w:cs="Arial"/>
            </w:rPr>
            <w:fldChar w:fldCharType="begin"/>
          </w:r>
          <w:r w:rsidRPr="00F56AD0">
            <w:rPr>
              <w:rFonts w:cs="Arial"/>
              <w:lang w:val="en-US"/>
            </w:rPr>
            <w:instrText xml:space="preserve"> CITATION Uni14 \l 1031 </w:instrText>
          </w:r>
          <w:r>
            <w:rPr>
              <w:rFonts w:cs="Arial"/>
            </w:rPr>
            <w:fldChar w:fldCharType="separate"/>
          </w:r>
          <w:r w:rsidRPr="00F56AD0">
            <w:rPr>
              <w:rFonts w:cs="Arial"/>
              <w:noProof/>
              <w:lang w:val="en-US"/>
            </w:rPr>
            <w:t>(United Nations, 2014)</w:t>
          </w:r>
          <w:r>
            <w:rPr>
              <w:rFonts w:cs="Arial"/>
            </w:rPr>
            <w:fldChar w:fldCharType="end"/>
          </w:r>
        </w:sdtContent>
      </w:sdt>
      <w:r w:rsidRPr="00F56AD0">
        <w:rPr>
          <w:rFonts w:cs="Arial"/>
          <w:lang w:val="en-US"/>
        </w:rPr>
        <w:t xml:space="preserve"> </w:t>
      </w:r>
      <w:hyperlink r:id="rId2" w:history="1">
        <w:r w:rsidRPr="004476F3">
          <w:rPr>
            <w:rStyle w:val="Lienhypertexte"/>
            <w:rFonts w:cs="Arial"/>
            <w:lang w:val="en-US"/>
          </w:rPr>
          <w:t>https://www.un.org/waterforlifedecade/scarcity.shtml</w:t>
        </w:r>
      </w:hyperlink>
      <w:r>
        <w:rPr>
          <w:rFonts w:cs="Arial"/>
          <w:lang w:val="en-US"/>
        </w:rPr>
        <w:t xml:space="preserve"> (</w:t>
      </w:r>
      <w:proofErr w:type="spellStart"/>
      <w:r>
        <w:rPr>
          <w:rFonts w:cs="Arial"/>
          <w:lang w:val="en-US"/>
        </w:rPr>
        <w:t>Abruf</w:t>
      </w:r>
      <w:proofErr w:type="spellEnd"/>
      <w:r>
        <w:rPr>
          <w:rFonts w:cs="Arial"/>
          <w:lang w:val="en-US"/>
        </w:rPr>
        <w:t xml:space="preserve"> 04. März 2021)</w:t>
      </w:r>
    </w:p>
  </w:footnote>
  <w:footnote w:id="3">
    <w:p w14:paraId="6459B414" w14:textId="557FCF9A" w:rsidR="00CE448E" w:rsidRPr="002E38E9" w:rsidRDefault="00CE448E" w:rsidP="002E38E9">
      <w:pPr>
        <w:pStyle w:val="Notedebasdepage"/>
        <w:rPr>
          <w:rFonts w:cs="Arial"/>
          <w:szCs w:val="16"/>
          <w:lang w:val="de-DE"/>
        </w:rPr>
      </w:pPr>
      <w:r>
        <w:rPr>
          <w:rStyle w:val="Appelnotedebasdep"/>
          <w:rFonts w:cs="Arial"/>
        </w:rPr>
        <w:footnoteRef/>
      </w:r>
      <w:r w:rsidRPr="002E38E9">
        <w:rPr>
          <w:rFonts w:cs="Arial"/>
          <w:szCs w:val="16"/>
          <w:lang w:val="de-DE"/>
        </w:rPr>
        <w:t xml:space="preserve"> </w:t>
      </w:r>
      <w:sdt>
        <w:sdtPr>
          <w:rPr>
            <w:rFonts w:cs="Arial"/>
            <w:szCs w:val="16"/>
          </w:rPr>
          <w:id w:val="1890759172"/>
          <w:citation/>
        </w:sdtPr>
        <w:sdtEndPr/>
        <w:sdtContent>
          <w:r>
            <w:rPr>
              <w:rFonts w:cs="Arial"/>
              <w:szCs w:val="16"/>
            </w:rPr>
            <w:fldChar w:fldCharType="begin"/>
          </w:r>
          <w:r w:rsidRPr="002E38E9">
            <w:rPr>
              <w:rFonts w:cs="Arial"/>
              <w:szCs w:val="16"/>
              <w:lang w:val="de-DE"/>
            </w:rPr>
            <w:instrText xml:space="preserve"> CITATION GIZ14 \l 1031 </w:instrText>
          </w:r>
          <w:r>
            <w:rPr>
              <w:rFonts w:cs="Arial"/>
              <w:szCs w:val="16"/>
            </w:rPr>
            <w:fldChar w:fldCharType="separate"/>
          </w:r>
          <w:r w:rsidRPr="002E38E9">
            <w:rPr>
              <w:rFonts w:cs="Arial"/>
              <w:noProof/>
              <w:szCs w:val="16"/>
              <w:lang w:val="de-DE"/>
            </w:rPr>
            <w:t>(GIZ, Kompass für Kooperationen , 2014)</w:t>
          </w:r>
          <w:r>
            <w:rPr>
              <w:rFonts w:cs="Arial"/>
              <w:szCs w:val="16"/>
            </w:rPr>
            <w:fldChar w:fldCharType="end"/>
          </w:r>
        </w:sdtContent>
      </w:sdt>
      <w:r>
        <w:rPr>
          <w:rFonts w:cs="Arial"/>
          <w:szCs w:val="16"/>
        </w:rPr>
        <w:t xml:space="preserve"> </w:t>
      </w:r>
    </w:p>
  </w:footnote>
  <w:footnote w:id="4">
    <w:p w14:paraId="605E56A7" w14:textId="4C1585A8" w:rsidR="00CE448E" w:rsidRPr="002E38E9" w:rsidRDefault="00CE448E" w:rsidP="002E38E9">
      <w:pPr>
        <w:pStyle w:val="Notedebasdepage"/>
        <w:rPr>
          <w:rFonts w:cs="Arial"/>
          <w:lang w:val="de-DE"/>
        </w:rPr>
      </w:pPr>
      <w:r>
        <w:rPr>
          <w:rStyle w:val="Appelnotedebasdep"/>
        </w:rPr>
        <w:footnoteRef/>
      </w:r>
      <w:r w:rsidRPr="002E38E9">
        <w:rPr>
          <w:rFonts w:asciiTheme="majorBidi" w:hAnsiTheme="majorBidi"/>
          <w:szCs w:val="16"/>
          <w:lang w:val="de-DE"/>
        </w:rPr>
        <w:t xml:space="preserve"> </w:t>
      </w:r>
      <w:sdt>
        <w:sdtPr>
          <w:rPr>
            <w:rFonts w:cs="Arial"/>
            <w:szCs w:val="16"/>
          </w:rPr>
          <w:id w:val="-1204015085"/>
          <w:citation/>
        </w:sdtPr>
        <w:sdtEndPr/>
        <w:sdtContent>
          <w:r w:rsidRPr="00253CFF">
            <w:rPr>
              <w:rFonts w:cs="Arial"/>
              <w:szCs w:val="16"/>
            </w:rPr>
            <w:fldChar w:fldCharType="begin"/>
          </w:r>
          <w:r w:rsidRPr="003D4706">
            <w:rPr>
              <w:rFonts w:cs="Arial"/>
              <w:szCs w:val="16"/>
              <w:lang w:val="de-DE"/>
            </w:rPr>
            <w:instrText xml:space="preserve"> CITATION Sim19 \l 1031 </w:instrText>
          </w:r>
          <w:r w:rsidRPr="00253CFF">
            <w:rPr>
              <w:rFonts w:cs="Arial"/>
              <w:szCs w:val="16"/>
            </w:rPr>
            <w:fldChar w:fldCharType="separate"/>
          </w:r>
          <w:r w:rsidRPr="003D4706">
            <w:rPr>
              <w:rFonts w:cs="Arial"/>
              <w:szCs w:val="16"/>
              <w:lang w:val="de-DE"/>
            </w:rPr>
            <w:t>(Kremer, 2019)</w:t>
          </w:r>
          <w:r w:rsidRPr="00253CFF">
            <w:rPr>
              <w:rFonts w:cs="Arial"/>
              <w:szCs w:val="16"/>
            </w:rPr>
            <w:fldChar w:fldCharType="end"/>
          </w:r>
        </w:sdtContent>
      </w:sdt>
      <w:r w:rsidRPr="003D4706">
        <w:rPr>
          <w:rFonts w:cs="Arial"/>
          <w:szCs w:val="16"/>
          <w:lang w:val="de-DE"/>
        </w:rPr>
        <w:t xml:space="preserve"> Projektkurzdarstellung Meerwasserentsalzungsanlage Djerba</w:t>
      </w:r>
    </w:p>
  </w:footnote>
  <w:footnote w:id="5">
    <w:p w14:paraId="3558B101" w14:textId="77777777" w:rsidR="00CE448E" w:rsidRPr="003D4706" w:rsidRDefault="00CE448E" w:rsidP="006A7CC3">
      <w:pPr>
        <w:pStyle w:val="Notedebasdepage"/>
        <w:rPr>
          <w:lang w:val="de-DE"/>
        </w:rPr>
      </w:pPr>
      <w:r>
        <w:rPr>
          <w:rStyle w:val="Appelnotedebasdep"/>
          <w:rFonts w:asciiTheme="majorBidi" w:hAnsiTheme="majorBidi"/>
          <w:sz w:val="16"/>
          <w:szCs w:val="16"/>
        </w:rPr>
        <w:footnoteRef/>
      </w:r>
      <w:r w:rsidRPr="003D4706">
        <w:rPr>
          <w:rFonts w:asciiTheme="majorBidi" w:hAnsiTheme="majorBidi"/>
          <w:sz w:val="16"/>
          <w:szCs w:val="16"/>
          <w:lang w:val="de-DE"/>
        </w:rPr>
        <w:t xml:space="preserve"> </w:t>
      </w:r>
      <w:sdt>
        <w:sdtPr>
          <w:rPr>
            <w:rFonts w:asciiTheme="majorBidi" w:hAnsiTheme="majorBidi"/>
            <w:sz w:val="16"/>
            <w:szCs w:val="16"/>
            <w:lang w:val="de-DE"/>
          </w:rPr>
          <w:id w:val="-649049506"/>
          <w:citation/>
        </w:sdtPr>
        <w:sdtEndPr/>
        <w:sdtContent>
          <w:r>
            <w:rPr>
              <w:rFonts w:asciiTheme="majorBidi" w:hAnsiTheme="majorBidi"/>
              <w:sz w:val="16"/>
              <w:szCs w:val="16"/>
              <w:lang w:val="de-DE"/>
            </w:rPr>
            <w:fldChar w:fldCharType="begin"/>
          </w:r>
          <w:r w:rsidRPr="003D4706">
            <w:rPr>
              <w:rFonts w:asciiTheme="majorBidi" w:hAnsiTheme="majorBidi"/>
              <w:sz w:val="16"/>
              <w:szCs w:val="16"/>
              <w:lang w:val="de-DE"/>
            </w:rPr>
            <w:instrText xml:space="preserve"> CITATION SON20 \l 1031 </w:instrText>
          </w:r>
          <w:r>
            <w:rPr>
              <w:rFonts w:asciiTheme="majorBidi" w:hAnsiTheme="majorBidi"/>
              <w:sz w:val="16"/>
              <w:szCs w:val="16"/>
              <w:lang w:val="de-DE"/>
            </w:rPr>
            <w:fldChar w:fldCharType="separate"/>
          </w:r>
          <w:r w:rsidRPr="003D4706">
            <w:rPr>
              <w:rFonts w:asciiTheme="majorBidi" w:hAnsiTheme="majorBidi"/>
              <w:noProof/>
              <w:sz w:val="16"/>
              <w:szCs w:val="16"/>
              <w:lang w:val="de-DE"/>
            </w:rPr>
            <w:t>(SONEDE, 2020)</w:t>
          </w:r>
          <w:r>
            <w:rPr>
              <w:rFonts w:asciiTheme="majorBidi" w:hAnsiTheme="majorBidi"/>
              <w:sz w:val="16"/>
              <w:szCs w:val="16"/>
              <w:lang w:val="de-DE"/>
            </w:rPr>
            <w:fldChar w:fldCharType="end"/>
          </w:r>
        </w:sdtContent>
      </w:sdt>
      <w:r w:rsidRPr="003D4706">
        <w:rPr>
          <w:rFonts w:asciiTheme="majorBidi" w:hAnsiTheme="majorBidi"/>
          <w:sz w:val="16"/>
          <w:szCs w:val="16"/>
          <w:lang w:val="de-DE"/>
        </w:rPr>
        <w:t xml:space="preserve"> </w:t>
      </w:r>
      <w:hyperlink r:id="rId3" w:history="1">
        <w:r w:rsidRPr="003D4706">
          <w:rPr>
            <w:rStyle w:val="Lienhypertexte"/>
            <w:rFonts w:asciiTheme="majorBidi" w:hAnsiTheme="majorBidi"/>
            <w:sz w:val="16"/>
            <w:szCs w:val="16"/>
            <w:lang w:val="de-DE"/>
          </w:rPr>
          <w:t>https://www.sonede.com.tn/fileadmin/medias/doc/RS2019.pdf</w:t>
        </w:r>
      </w:hyperlink>
      <w:r w:rsidRPr="003D4706">
        <w:rPr>
          <w:rFonts w:asciiTheme="majorBidi" w:hAnsiTheme="majorBidi"/>
          <w:sz w:val="16"/>
          <w:szCs w:val="16"/>
          <w:lang w:val="de-DE"/>
        </w:rPr>
        <w:t xml:space="preserve"> (Ab</w:t>
      </w:r>
      <w:r>
        <w:rPr>
          <w:rFonts w:asciiTheme="majorBidi" w:hAnsiTheme="majorBidi"/>
          <w:sz w:val="16"/>
          <w:szCs w:val="16"/>
          <w:lang w:val="de-DE"/>
        </w:rPr>
        <w:t>ruf 27.08.2021)</w:t>
      </w:r>
    </w:p>
  </w:footnote>
  <w:footnote w:id="6">
    <w:p w14:paraId="16A63C51" w14:textId="28A98D58" w:rsidR="00370D1B" w:rsidRPr="00370D1B" w:rsidRDefault="00370D1B">
      <w:pPr>
        <w:pStyle w:val="Notedebasdepage"/>
        <w:rPr>
          <w:lang w:val="de-DE"/>
        </w:rPr>
      </w:pPr>
      <w:r>
        <w:rPr>
          <w:rStyle w:val="Appelnotedebasdep"/>
        </w:rPr>
        <w:footnoteRef/>
      </w:r>
      <w:r w:rsidRPr="00370D1B">
        <w:rPr>
          <w:lang w:val="de-DE"/>
        </w:rPr>
        <w:t xml:space="preserve"> (ONAS, 2021) </w:t>
      </w:r>
      <w:hyperlink r:id="rId4" w:history="1">
        <w:r w:rsidRPr="00370D1B">
          <w:rPr>
            <w:rStyle w:val="Lienhypertexte"/>
            <w:lang w:val="de-DE"/>
          </w:rPr>
          <w:t>http://www.onas.nat.tn/Fr/page.php?code=19</w:t>
        </w:r>
      </w:hyperlink>
      <w:r w:rsidRPr="00370D1B">
        <w:rPr>
          <w:lang w:val="de-DE"/>
        </w:rPr>
        <w:t xml:space="preserve"> (Abruf am</w:t>
      </w:r>
      <w:r>
        <w:rPr>
          <w:lang w:val="de-DE"/>
        </w:rPr>
        <w:t xml:space="preserve"> 28. August 2021)</w:t>
      </w:r>
    </w:p>
  </w:footnote>
  <w:footnote w:id="7">
    <w:p w14:paraId="3B29AC05" w14:textId="413F7CD0" w:rsidR="00CE448E" w:rsidRPr="007C10C8" w:rsidRDefault="00CE448E">
      <w:pPr>
        <w:pStyle w:val="Notedebasdepage"/>
        <w:rPr>
          <w:lang w:val="de-DE"/>
        </w:rPr>
      </w:pPr>
      <w:r>
        <w:rPr>
          <w:rStyle w:val="Appelnotedebasdep"/>
        </w:rPr>
        <w:footnoteRef/>
      </w:r>
      <w:r w:rsidRPr="007C10C8">
        <w:rPr>
          <w:lang w:val="de-DE"/>
        </w:rPr>
        <w:t xml:space="preserve"> (ONAS, 2021) </w:t>
      </w:r>
      <w:hyperlink r:id="rId5" w:history="1">
        <w:r w:rsidRPr="007C10C8">
          <w:rPr>
            <w:rStyle w:val="Lienhypertexte"/>
            <w:lang w:val="de-DE"/>
          </w:rPr>
          <w:t>http://www.onas.nat.tn/Fr/page.php?code=109</w:t>
        </w:r>
      </w:hyperlink>
      <w:r w:rsidRPr="007C10C8">
        <w:rPr>
          <w:lang w:val="de-DE"/>
        </w:rPr>
        <w:t xml:space="preserve"> (Abruf am</w:t>
      </w:r>
      <w:r>
        <w:rPr>
          <w:lang w:val="de-DE"/>
        </w:rPr>
        <w:t xml:space="preserve"> 27. August 2021)</w:t>
      </w:r>
    </w:p>
  </w:footnote>
  <w:footnote w:id="8">
    <w:p w14:paraId="14DF82CB" w14:textId="25197372" w:rsidR="00CE448E" w:rsidRPr="00262986" w:rsidRDefault="00CE448E" w:rsidP="002E38E9">
      <w:pPr>
        <w:pStyle w:val="Notedebasdepage"/>
        <w:rPr>
          <w:lang w:val="de-DE"/>
        </w:rPr>
      </w:pPr>
      <w:r>
        <w:rPr>
          <w:rStyle w:val="Appelnotedebasdep"/>
          <w:rFonts w:cs="Arial"/>
        </w:rPr>
        <w:footnoteRef/>
      </w:r>
      <w:r w:rsidRPr="00262986">
        <w:rPr>
          <w:rFonts w:cs="Arial"/>
          <w:lang w:val="de-DE"/>
        </w:rPr>
        <w:t xml:space="preserve"> (BMZ, 2019)</w:t>
      </w:r>
      <w:r w:rsidRPr="00262986">
        <w:rPr>
          <w:lang w:val="de-DE"/>
        </w:rPr>
        <w:t xml:space="preserve"> </w:t>
      </w:r>
      <w:hyperlink r:id="rId6" w:history="1">
        <w:r w:rsidRPr="00262986">
          <w:rPr>
            <w:rStyle w:val="Lienhypertexte"/>
            <w:rFonts w:cs="Arial"/>
            <w:lang w:val="de-DE"/>
          </w:rPr>
          <w:t>http://www.bmz.de/de/ministerium/zahlen_fakten/transparenz-fuer-mehr-Wirksamkeit/Veroeffentlichung-gemaess-IATI-Standard/</w:t>
        </w:r>
      </w:hyperlink>
      <w:r w:rsidRPr="00262986">
        <w:rPr>
          <w:rFonts w:cs="Arial"/>
          <w:lang w:val="de-DE"/>
        </w:rPr>
        <w:t xml:space="preserve"> (Ab</w:t>
      </w:r>
      <w:r>
        <w:rPr>
          <w:rFonts w:cs="Arial"/>
          <w:lang w:val="de-DE"/>
        </w:rPr>
        <w:t>ruf 08.Mai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499"/>
      <w:gridCol w:w="4573"/>
    </w:tblGrid>
    <w:tr w:rsidR="00CE448E" w14:paraId="011D4F2C" w14:textId="77777777" w:rsidTr="0006624B">
      <w:tc>
        <w:tcPr>
          <w:tcW w:w="4499" w:type="dxa"/>
          <w:shd w:val="clear" w:color="auto" w:fill="auto"/>
        </w:tcPr>
        <w:p w14:paraId="10748EA8" w14:textId="77777777" w:rsidR="00CE448E" w:rsidRPr="00594503" w:rsidRDefault="00CE448E" w:rsidP="0006624B">
          <w:pPr>
            <w:pStyle w:val="En-tte"/>
            <w:rPr>
              <w:rFonts w:ascii="Trebuchet MS" w:hAnsi="Trebuchet MS"/>
              <w:color w:val="003882"/>
              <w:sz w:val="18"/>
              <w:szCs w:val="18"/>
            </w:rPr>
          </w:pPr>
          <w:r w:rsidRPr="00594503">
            <w:rPr>
              <w:rFonts w:ascii="Trebuchet MS" w:hAnsi="Trebuchet MS"/>
              <w:color w:val="003882"/>
              <w:sz w:val="18"/>
              <w:szCs w:val="18"/>
            </w:rPr>
            <w:t>Tunis Tunesien</w:t>
          </w:r>
        </w:p>
      </w:tc>
      <w:tc>
        <w:tcPr>
          <w:tcW w:w="4573" w:type="dxa"/>
          <w:shd w:val="clear" w:color="auto" w:fill="auto"/>
        </w:tcPr>
        <w:p w14:paraId="62917408" w14:textId="77777777" w:rsidR="00CE448E" w:rsidRDefault="00CE448E" w:rsidP="0006624B">
          <w:pPr>
            <w:pStyle w:val="En-tte"/>
            <w:jc w:val="right"/>
          </w:pPr>
          <w:r>
            <w:rPr>
              <w:noProof/>
              <w:lang w:eastAsia="fr-FR"/>
            </w:rPr>
            <w:drawing>
              <wp:inline distT="0" distB="0" distL="0" distR="0" wp14:anchorId="091CD7A6" wp14:editId="3289BD9E">
                <wp:extent cx="1171575" cy="990600"/>
                <wp:effectExtent l="0" t="0" r="9525" b="0"/>
                <wp:docPr id="36" name="Image 6" descr="DE_logo-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_logo-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990600"/>
                        </a:xfrm>
                        <a:prstGeom prst="rect">
                          <a:avLst/>
                        </a:prstGeom>
                        <a:noFill/>
                        <a:ln>
                          <a:noFill/>
                        </a:ln>
                      </pic:spPr>
                    </pic:pic>
                  </a:graphicData>
                </a:graphic>
              </wp:inline>
            </w:drawing>
          </w:r>
        </w:p>
      </w:tc>
    </w:tr>
  </w:tbl>
  <w:p w14:paraId="5C72EC8D" w14:textId="77777777" w:rsidR="00CE448E" w:rsidRDefault="00CE448E" w:rsidP="0006624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0878"/>
    <w:multiLevelType w:val="hybridMultilevel"/>
    <w:tmpl w:val="0ED0AC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BF3499"/>
    <w:multiLevelType w:val="hybridMultilevel"/>
    <w:tmpl w:val="1138EAF6"/>
    <w:lvl w:ilvl="0" w:tplc="F04C4ACA">
      <w:start w:val="1"/>
      <w:numFmt w:val="bullet"/>
      <w:lvlText w:val=""/>
      <w:lvlJc w:val="left"/>
      <w:pPr>
        <w:ind w:left="1192" w:hanging="360"/>
      </w:pPr>
      <w:rPr>
        <w:rFonts w:ascii="Wingdings" w:hAnsi="Wingdings" w:hint="default"/>
        <w:color w:val="2F5496" w:themeColor="accent5" w:themeShade="BF"/>
      </w:rPr>
    </w:lvl>
    <w:lvl w:ilvl="1" w:tplc="040C0003" w:tentative="1">
      <w:start w:val="1"/>
      <w:numFmt w:val="bullet"/>
      <w:lvlText w:val="o"/>
      <w:lvlJc w:val="left"/>
      <w:pPr>
        <w:ind w:left="1912" w:hanging="360"/>
      </w:pPr>
      <w:rPr>
        <w:rFonts w:ascii="Courier New" w:hAnsi="Courier New" w:cs="Courier New" w:hint="default"/>
      </w:rPr>
    </w:lvl>
    <w:lvl w:ilvl="2" w:tplc="040C0005" w:tentative="1">
      <w:start w:val="1"/>
      <w:numFmt w:val="bullet"/>
      <w:lvlText w:val=""/>
      <w:lvlJc w:val="left"/>
      <w:pPr>
        <w:ind w:left="2632" w:hanging="360"/>
      </w:pPr>
      <w:rPr>
        <w:rFonts w:ascii="Wingdings" w:hAnsi="Wingdings" w:hint="default"/>
      </w:rPr>
    </w:lvl>
    <w:lvl w:ilvl="3" w:tplc="040C0001" w:tentative="1">
      <w:start w:val="1"/>
      <w:numFmt w:val="bullet"/>
      <w:lvlText w:val=""/>
      <w:lvlJc w:val="left"/>
      <w:pPr>
        <w:ind w:left="3352" w:hanging="360"/>
      </w:pPr>
      <w:rPr>
        <w:rFonts w:ascii="Symbol" w:hAnsi="Symbol" w:hint="default"/>
      </w:rPr>
    </w:lvl>
    <w:lvl w:ilvl="4" w:tplc="040C0003" w:tentative="1">
      <w:start w:val="1"/>
      <w:numFmt w:val="bullet"/>
      <w:lvlText w:val="o"/>
      <w:lvlJc w:val="left"/>
      <w:pPr>
        <w:ind w:left="4072" w:hanging="360"/>
      </w:pPr>
      <w:rPr>
        <w:rFonts w:ascii="Courier New" w:hAnsi="Courier New" w:cs="Courier New" w:hint="default"/>
      </w:rPr>
    </w:lvl>
    <w:lvl w:ilvl="5" w:tplc="040C0005" w:tentative="1">
      <w:start w:val="1"/>
      <w:numFmt w:val="bullet"/>
      <w:lvlText w:val=""/>
      <w:lvlJc w:val="left"/>
      <w:pPr>
        <w:ind w:left="4792" w:hanging="360"/>
      </w:pPr>
      <w:rPr>
        <w:rFonts w:ascii="Wingdings" w:hAnsi="Wingdings" w:hint="default"/>
      </w:rPr>
    </w:lvl>
    <w:lvl w:ilvl="6" w:tplc="040C0001" w:tentative="1">
      <w:start w:val="1"/>
      <w:numFmt w:val="bullet"/>
      <w:lvlText w:val=""/>
      <w:lvlJc w:val="left"/>
      <w:pPr>
        <w:ind w:left="5512" w:hanging="360"/>
      </w:pPr>
      <w:rPr>
        <w:rFonts w:ascii="Symbol" w:hAnsi="Symbol" w:hint="default"/>
      </w:rPr>
    </w:lvl>
    <w:lvl w:ilvl="7" w:tplc="040C0003" w:tentative="1">
      <w:start w:val="1"/>
      <w:numFmt w:val="bullet"/>
      <w:lvlText w:val="o"/>
      <w:lvlJc w:val="left"/>
      <w:pPr>
        <w:ind w:left="6232" w:hanging="360"/>
      </w:pPr>
      <w:rPr>
        <w:rFonts w:ascii="Courier New" w:hAnsi="Courier New" w:cs="Courier New" w:hint="default"/>
      </w:rPr>
    </w:lvl>
    <w:lvl w:ilvl="8" w:tplc="040C0005" w:tentative="1">
      <w:start w:val="1"/>
      <w:numFmt w:val="bullet"/>
      <w:lvlText w:val=""/>
      <w:lvlJc w:val="left"/>
      <w:pPr>
        <w:ind w:left="6952" w:hanging="360"/>
      </w:pPr>
      <w:rPr>
        <w:rFonts w:ascii="Wingdings" w:hAnsi="Wingdings" w:hint="default"/>
      </w:rPr>
    </w:lvl>
  </w:abstractNum>
  <w:abstractNum w:abstractNumId="2" w15:restartNumberingAfterBreak="0">
    <w:nsid w:val="16C52760"/>
    <w:multiLevelType w:val="hybridMultilevel"/>
    <w:tmpl w:val="F4388FBE"/>
    <w:lvl w:ilvl="0" w:tplc="F04C4ACA">
      <w:start w:val="1"/>
      <w:numFmt w:val="bullet"/>
      <w:lvlText w:val=""/>
      <w:lvlJc w:val="left"/>
      <w:pPr>
        <w:ind w:left="720" w:hanging="360"/>
      </w:pPr>
      <w:rPr>
        <w:rFonts w:ascii="Wingdings" w:hAnsi="Wingdings" w:hint="default"/>
        <w:color w:val="2F5496" w:themeColor="accent5" w:themeShade="BF"/>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8E39FA"/>
    <w:multiLevelType w:val="hybridMultilevel"/>
    <w:tmpl w:val="22626F86"/>
    <w:lvl w:ilvl="0" w:tplc="A970AA6A">
      <w:start w:val="1"/>
      <w:numFmt w:val="decimal"/>
      <w:pStyle w:val="Titre1"/>
      <w:lvlText w:val="%1."/>
      <w:lvlJc w:val="left"/>
      <w:pPr>
        <w:ind w:left="1637" w:hanging="360"/>
      </w:pPr>
    </w:lvl>
    <w:lvl w:ilvl="1" w:tplc="040C0019" w:tentative="1">
      <w:start w:val="1"/>
      <w:numFmt w:val="lowerLetter"/>
      <w:lvlText w:val="%2."/>
      <w:lvlJc w:val="left"/>
      <w:pPr>
        <w:ind w:left="2357" w:hanging="360"/>
      </w:pPr>
    </w:lvl>
    <w:lvl w:ilvl="2" w:tplc="040C001B" w:tentative="1">
      <w:start w:val="1"/>
      <w:numFmt w:val="lowerRoman"/>
      <w:lvlText w:val="%3."/>
      <w:lvlJc w:val="right"/>
      <w:pPr>
        <w:ind w:left="3077" w:hanging="180"/>
      </w:pPr>
    </w:lvl>
    <w:lvl w:ilvl="3" w:tplc="040C000F" w:tentative="1">
      <w:start w:val="1"/>
      <w:numFmt w:val="decimal"/>
      <w:lvlText w:val="%4."/>
      <w:lvlJc w:val="left"/>
      <w:pPr>
        <w:ind w:left="3797" w:hanging="360"/>
      </w:pPr>
    </w:lvl>
    <w:lvl w:ilvl="4" w:tplc="040C0019" w:tentative="1">
      <w:start w:val="1"/>
      <w:numFmt w:val="lowerLetter"/>
      <w:lvlText w:val="%5."/>
      <w:lvlJc w:val="left"/>
      <w:pPr>
        <w:ind w:left="4517" w:hanging="360"/>
      </w:pPr>
    </w:lvl>
    <w:lvl w:ilvl="5" w:tplc="040C001B" w:tentative="1">
      <w:start w:val="1"/>
      <w:numFmt w:val="lowerRoman"/>
      <w:lvlText w:val="%6."/>
      <w:lvlJc w:val="right"/>
      <w:pPr>
        <w:ind w:left="5237" w:hanging="180"/>
      </w:pPr>
    </w:lvl>
    <w:lvl w:ilvl="6" w:tplc="040C000F" w:tentative="1">
      <w:start w:val="1"/>
      <w:numFmt w:val="decimal"/>
      <w:lvlText w:val="%7."/>
      <w:lvlJc w:val="left"/>
      <w:pPr>
        <w:ind w:left="5957" w:hanging="360"/>
      </w:pPr>
    </w:lvl>
    <w:lvl w:ilvl="7" w:tplc="040C0019" w:tentative="1">
      <w:start w:val="1"/>
      <w:numFmt w:val="lowerLetter"/>
      <w:lvlText w:val="%8."/>
      <w:lvlJc w:val="left"/>
      <w:pPr>
        <w:ind w:left="6677" w:hanging="360"/>
      </w:pPr>
    </w:lvl>
    <w:lvl w:ilvl="8" w:tplc="040C001B" w:tentative="1">
      <w:start w:val="1"/>
      <w:numFmt w:val="lowerRoman"/>
      <w:lvlText w:val="%9."/>
      <w:lvlJc w:val="right"/>
      <w:pPr>
        <w:ind w:left="7397" w:hanging="180"/>
      </w:pPr>
    </w:lvl>
  </w:abstractNum>
  <w:abstractNum w:abstractNumId="4" w15:restartNumberingAfterBreak="0">
    <w:nsid w:val="20E410D5"/>
    <w:multiLevelType w:val="hybridMultilevel"/>
    <w:tmpl w:val="D92AA892"/>
    <w:lvl w:ilvl="0" w:tplc="0407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2422CCC"/>
    <w:multiLevelType w:val="hybridMultilevel"/>
    <w:tmpl w:val="77B01690"/>
    <w:lvl w:ilvl="0" w:tplc="0407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E0300D2"/>
    <w:multiLevelType w:val="hybridMultilevel"/>
    <w:tmpl w:val="28BE4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66077C2"/>
    <w:multiLevelType w:val="hybridMultilevel"/>
    <w:tmpl w:val="4E5CA9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8212334"/>
    <w:multiLevelType w:val="hybridMultilevel"/>
    <w:tmpl w:val="85D243F4"/>
    <w:lvl w:ilvl="0" w:tplc="AF643668">
      <w:start w:val="1"/>
      <w:numFmt w:val="lowerLetter"/>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2DA1E26"/>
    <w:multiLevelType w:val="hybridMultilevel"/>
    <w:tmpl w:val="940877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08132211">
    <w:abstractNumId w:val="3"/>
  </w:num>
  <w:num w:numId="2" w16cid:durableId="1232693926">
    <w:abstractNumId w:val="8"/>
  </w:num>
  <w:num w:numId="3" w16cid:durableId="796412365">
    <w:abstractNumId w:val="0"/>
  </w:num>
  <w:num w:numId="4" w16cid:durableId="1778866666">
    <w:abstractNumId w:val="6"/>
  </w:num>
  <w:num w:numId="5" w16cid:durableId="957949991">
    <w:abstractNumId w:val="3"/>
    <w:lvlOverride w:ilvl="0">
      <w:startOverride w:val="1"/>
    </w:lvlOverride>
  </w:num>
  <w:num w:numId="6" w16cid:durableId="526984162">
    <w:abstractNumId w:val="3"/>
  </w:num>
  <w:num w:numId="7" w16cid:durableId="815535049">
    <w:abstractNumId w:val="3"/>
    <w:lvlOverride w:ilvl="0">
      <w:startOverride w:val="1"/>
    </w:lvlOverride>
  </w:num>
  <w:num w:numId="8" w16cid:durableId="231045816">
    <w:abstractNumId w:val="2"/>
  </w:num>
  <w:num w:numId="9" w16cid:durableId="502665139">
    <w:abstractNumId w:val="1"/>
  </w:num>
  <w:num w:numId="10" w16cid:durableId="1576624580">
    <w:abstractNumId w:val="9"/>
  </w:num>
  <w:num w:numId="11" w16cid:durableId="906189996">
    <w:abstractNumId w:val="3"/>
  </w:num>
  <w:num w:numId="12" w16cid:durableId="927271304">
    <w:abstractNumId w:val="3"/>
  </w:num>
  <w:num w:numId="13" w16cid:durableId="1728214648">
    <w:abstractNumId w:val="7"/>
  </w:num>
  <w:num w:numId="14" w16cid:durableId="1537769186">
    <w:abstractNumId w:val="4"/>
  </w:num>
  <w:num w:numId="15" w16cid:durableId="1920560356">
    <w:abstractNumId w:val="5"/>
  </w:num>
  <w:num w:numId="16" w16cid:durableId="391201108">
    <w:abstractNumId w:val="3"/>
  </w:num>
  <w:num w:numId="17" w16cid:durableId="133762841">
    <w:abstractNumId w:val="8"/>
  </w:num>
  <w:num w:numId="18" w16cid:durableId="207956807">
    <w:abstractNumId w:val="8"/>
  </w:num>
  <w:num w:numId="19" w16cid:durableId="8811357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485"/>
    <w:rsid w:val="00046622"/>
    <w:rsid w:val="000576C2"/>
    <w:rsid w:val="0006624B"/>
    <w:rsid w:val="000A1B28"/>
    <w:rsid w:val="000A34DE"/>
    <w:rsid w:val="000C43DC"/>
    <w:rsid w:val="000D2BF0"/>
    <w:rsid w:val="000E40C6"/>
    <w:rsid w:val="000F7FD8"/>
    <w:rsid w:val="00110CB9"/>
    <w:rsid w:val="001465F6"/>
    <w:rsid w:val="00146F8F"/>
    <w:rsid w:val="001504E7"/>
    <w:rsid w:val="001566A9"/>
    <w:rsid w:val="00170C8A"/>
    <w:rsid w:val="0017187E"/>
    <w:rsid w:val="001746B9"/>
    <w:rsid w:val="00176C1C"/>
    <w:rsid w:val="001B0546"/>
    <w:rsid w:val="001B50BE"/>
    <w:rsid w:val="001C67D6"/>
    <w:rsid w:val="00214A40"/>
    <w:rsid w:val="00242118"/>
    <w:rsid w:val="00247F73"/>
    <w:rsid w:val="00253CFF"/>
    <w:rsid w:val="00254C43"/>
    <w:rsid w:val="00262986"/>
    <w:rsid w:val="00266546"/>
    <w:rsid w:val="00274B55"/>
    <w:rsid w:val="00276CDF"/>
    <w:rsid w:val="00277CE9"/>
    <w:rsid w:val="00283AAE"/>
    <w:rsid w:val="00286F13"/>
    <w:rsid w:val="0029151B"/>
    <w:rsid w:val="00295569"/>
    <w:rsid w:val="002E0389"/>
    <w:rsid w:val="002E38E9"/>
    <w:rsid w:val="002F48DD"/>
    <w:rsid w:val="00307144"/>
    <w:rsid w:val="00310AA8"/>
    <w:rsid w:val="00310ECB"/>
    <w:rsid w:val="00334B42"/>
    <w:rsid w:val="00342C50"/>
    <w:rsid w:val="00347723"/>
    <w:rsid w:val="00370D1B"/>
    <w:rsid w:val="0037589B"/>
    <w:rsid w:val="0039338A"/>
    <w:rsid w:val="003D2887"/>
    <w:rsid w:val="003D2CF9"/>
    <w:rsid w:val="003D4706"/>
    <w:rsid w:val="003D6292"/>
    <w:rsid w:val="003F202C"/>
    <w:rsid w:val="00401F37"/>
    <w:rsid w:val="00410AAE"/>
    <w:rsid w:val="0043292B"/>
    <w:rsid w:val="00445CB1"/>
    <w:rsid w:val="0045583E"/>
    <w:rsid w:val="00457C4F"/>
    <w:rsid w:val="00473C92"/>
    <w:rsid w:val="00474F40"/>
    <w:rsid w:val="00485A12"/>
    <w:rsid w:val="004A3A3E"/>
    <w:rsid w:val="004B26E9"/>
    <w:rsid w:val="004B5BF3"/>
    <w:rsid w:val="0050367B"/>
    <w:rsid w:val="00507B75"/>
    <w:rsid w:val="00513C5E"/>
    <w:rsid w:val="00570548"/>
    <w:rsid w:val="005723DA"/>
    <w:rsid w:val="00600F7E"/>
    <w:rsid w:val="0064305C"/>
    <w:rsid w:val="006642BC"/>
    <w:rsid w:val="00685E70"/>
    <w:rsid w:val="006A7CC3"/>
    <w:rsid w:val="006B3800"/>
    <w:rsid w:val="006D0556"/>
    <w:rsid w:val="006E5576"/>
    <w:rsid w:val="00703AF7"/>
    <w:rsid w:val="00717257"/>
    <w:rsid w:val="00722AB7"/>
    <w:rsid w:val="00735D30"/>
    <w:rsid w:val="007715ED"/>
    <w:rsid w:val="00794714"/>
    <w:rsid w:val="007C10C8"/>
    <w:rsid w:val="007E1485"/>
    <w:rsid w:val="007F3760"/>
    <w:rsid w:val="007F3761"/>
    <w:rsid w:val="00872352"/>
    <w:rsid w:val="008B007A"/>
    <w:rsid w:val="008C0F63"/>
    <w:rsid w:val="008D193C"/>
    <w:rsid w:val="008D1967"/>
    <w:rsid w:val="009170A4"/>
    <w:rsid w:val="00925817"/>
    <w:rsid w:val="009340C5"/>
    <w:rsid w:val="009644F3"/>
    <w:rsid w:val="009830C7"/>
    <w:rsid w:val="009874FB"/>
    <w:rsid w:val="00996800"/>
    <w:rsid w:val="009C6711"/>
    <w:rsid w:val="009E4FC1"/>
    <w:rsid w:val="009E5EFB"/>
    <w:rsid w:val="00A4052B"/>
    <w:rsid w:val="00A579E3"/>
    <w:rsid w:val="00A63C36"/>
    <w:rsid w:val="00A75C51"/>
    <w:rsid w:val="00AA1757"/>
    <w:rsid w:val="00AB5AE9"/>
    <w:rsid w:val="00AF7834"/>
    <w:rsid w:val="00B22F3C"/>
    <w:rsid w:val="00B27C6A"/>
    <w:rsid w:val="00B43C54"/>
    <w:rsid w:val="00B5613F"/>
    <w:rsid w:val="00B61D68"/>
    <w:rsid w:val="00B755C3"/>
    <w:rsid w:val="00BA11A2"/>
    <w:rsid w:val="00BB01D8"/>
    <w:rsid w:val="00BD5233"/>
    <w:rsid w:val="00BF18AE"/>
    <w:rsid w:val="00BF33E5"/>
    <w:rsid w:val="00C04744"/>
    <w:rsid w:val="00C364CC"/>
    <w:rsid w:val="00C50C9B"/>
    <w:rsid w:val="00C51E03"/>
    <w:rsid w:val="00C52444"/>
    <w:rsid w:val="00CB6F3B"/>
    <w:rsid w:val="00CE448E"/>
    <w:rsid w:val="00CF1D08"/>
    <w:rsid w:val="00CF7C7E"/>
    <w:rsid w:val="00D051E3"/>
    <w:rsid w:val="00D151EB"/>
    <w:rsid w:val="00D2510D"/>
    <w:rsid w:val="00D53836"/>
    <w:rsid w:val="00D54947"/>
    <w:rsid w:val="00D633AF"/>
    <w:rsid w:val="00D90C44"/>
    <w:rsid w:val="00DC460C"/>
    <w:rsid w:val="00DF2BA8"/>
    <w:rsid w:val="00DF6288"/>
    <w:rsid w:val="00E045E8"/>
    <w:rsid w:val="00E078B9"/>
    <w:rsid w:val="00E31A62"/>
    <w:rsid w:val="00E614F4"/>
    <w:rsid w:val="00E679F8"/>
    <w:rsid w:val="00E743F0"/>
    <w:rsid w:val="00E833F0"/>
    <w:rsid w:val="00E841EC"/>
    <w:rsid w:val="00E92D79"/>
    <w:rsid w:val="00EC158B"/>
    <w:rsid w:val="00EC1D02"/>
    <w:rsid w:val="00ED7116"/>
    <w:rsid w:val="00F44E5A"/>
    <w:rsid w:val="00F56AD0"/>
    <w:rsid w:val="00F63B26"/>
    <w:rsid w:val="00F719E2"/>
    <w:rsid w:val="00F97A81"/>
    <w:rsid w:val="00FA2AE2"/>
    <w:rsid w:val="00FC0584"/>
    <w:rsid w:val="00FC5F3E"/>
    <w:rsid w:val="00FF40D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750B0A"/>
  <w15:docId w15:val="{9A59CC78-8EBE-48FD-886E-59739A447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A3A3E"/>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794714"/>
    <w:pPr>
      <w:keepNext/>
      <w:keepLines/>
      <w:numPr>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C524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F2BA8"/>
    <w:rPr>
      <w:rFonts w:asciiTheme="majorHAnsi" w:eastAsiaTheme="majorEastAsia" w:hAnsiTheme="majorHAnsi" w:cstheme="majorBidi"/>
      <w:color w:val="2E74B5" w:themeColor="accent1" w:themeShade="BF"/>
      <w:sz w:val="32"/>
      <w:szCs w:val="32"/>
    </w:rPr>
  </w:style>
  <w:style w:type="character" w:styleId="Lienhypertexte">
    <w:name w:val="Hyperlink"/>
    <w:basedOn w:val="Policepardfaut"/>
    <w:uiPriority w:val="99"/>
    <w:unhideWhenUsed/>
    <w:rsid w:val="00266546"/>
    <w:rPr>
      <w:color w:val="0563C1" w:themeColor="hyperlink"/>
      <w:u w:val="single"/>
    </w:rPr>
  </w:style>
  <w:style w:type="paragraph" w:styleId="Notedebasdepage">
    <w:name w:val="footnote text"/>
    <w:basedOn w:val="Normal"/>
    <w:link w:val="NotedebasdepageCar"/>
    <w:uiPriority w:val="99"/>
    <w:unhideWhenUsed/>
    <w:qFormat/>
    <w:rsid w:val="00266546"/>
    <w:pPr>
      <w:spacing w:after="0" w:line="240" w:lineRule="auto"/>
    </w:pPr>
    <w:rPr>
      <w:sz w:val="20"/>
      <w:szCs w:val="20"/>
    </w:rPr>
  </w:style>
  <w:style w:type="character" w:customStyle="1" w:styleId="NotedebasdepageCar">
    <w:name w:val="Note de bas de page Car"/>
    <w:basedOn w:val="Policepardfaut"/>
    <w:link w:val="Notedebasdepage"/>
    <w:uiPriority w:val="99"/>
    <w:rsid w:val="00266546"/>
    <w:rPr>
      <w:sz w:val="20"/>
      <w:szCs w:val="20"/>
    </w:rPr>
  </w:style>
  <w:style w:type="character" w:styleId="Appelnotedebasdep">
    <w:name w:val="footnote reference"/>
    <w:basedOn w:val="Policepardfaut"/>
    <w:uiPriority w:val="99"/>
    <w:unhideWhenUsed/>
    <w:rsid w:val="00266546"/>
    <w:rPr>
      <w:vertAlign w:val="superscript"/>
    </w:rPr>
  </w:style>
  <w:style w:type="character" w:customStyle="1" w:styleId="Titre2Car">
    <w:name w:val="Titre 2 Car"/>
    <w:basedOn w:val="Policepardfaut"/>
    <w:link w:val="Titre2"/>
    <w:uiPriority w:val="9"/>
    <w:rsid w:val="00794714"/>
    <w:rPr>
      <w:rFonts w:asciiTheme="majorHAnsi" w:eastAsiaTheme="majorEastAsia" w:hAnsiTheme="majorHAnsi" w:cstheme="majorBidi"/>
      <w:color w:val="2E74B5" w:themeColor="accent1" w:themeShade="BF"/>
      <w:sz w:val="26"/>
      <w:szCs w:val="26"/>
    </w:rPr>
  </w:style>
  <w:style w:type="paragraph" w:styleId="En-tte">
    <w:name w:val="header"/>
    <w:basedOn w:val="Normal"/>
    <w:link w:val="En-tteCar"/>
    <w:unhideWhenUsed/>
    <w:rsid w:val="00EC1D02"/>
    <w:pPr>
      <w:tabs>
        <w:tab w:val="center" w:pos="4536"/>
        <w:tab w:val="right" w:pos="9072"/>
      </w:tabs>
      <w:spacing w:after="0" w:line="240" w:lineRule="auto"/>
    </w:pPr>
  </w:style>
  <w:style w:type="character" w:customStyle="1" w:styleId="En-tteCar">
    <w:name w:val="En-tête Car"/>
    <w:basedOn w:val="Policepardfaut"/>
    <w:link w:val="En-tte"/>
    <w:uiPriority w:val="99"/>
    <w:rsid w:val="00EC1D02"/>
  </w:style>
  <w:style w:type="paragraph" w:styleId="Pieddepage">
    <w:name w:val="footer"/>
    <w:basedOn w:val="Normal"/>
    <w:link w:val="PieddepageCar"/>
    <w:uiPriority w:val="99"/>
    <w:unhideWhenUsed/>
    <w:rsid w:val="00EC1D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C1D02"/>
  </w:style>
  <w:style w:type="paragraph" w:styleId="Sansinterligne">
    <w:name w:val="No Spacing"/>
    <w:link w:val="SansinterligneCar"/>
    <w:uiPriority w:val="1"/>
    <w:qFormat/>
    <w:rsid w:val="000E40C6"/>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0E40C6"/>
    <w:rPr>
      <w:rFonts w:eastAsiaTheme="minorEastAsia"/>
      <w:lang w:eastAsia="fr-FR"/>
    </w:rPr>
  </w:style>
  <w:style w:type="paragraph" w:styleId="Paragraphedeliste">
    <w:name w:val="List Paragraph"/>
    <w:basedOn w:val="Normal"/>
    <w:uiPriority w:val="34"/>
    <w:qFormat/>
    <w:rsid w:val="00CB6F3B"/>
    <w:pPr>
      <w:ind w:left="720"/>
      <w:contextualSpacing/>
    </w:pPr>
  </w:style>
  <w:style w:type="paragraph" w:styleId="Textedebulles">
    <w:name w:val="Balloon Text"/>
    <w:basedOn w:val="Normal"/>
    <w:link w:val="TextedebullesCar"/>
    <w:uiPriority w:val="99"/>
    <w:semiHidden/>
    <w:unhideWhenUsed/>
    <w:rsid w:val="00DF62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6288"/>
    <w:rPr>
      <w:rFonts w:ascii="Tahoma" w:hAnsi="Tahoma" w:cs="Tahoma"/>
      <w:sz w:val="16"/>
      <w:szCs w:val="16"/>
    </w:rPr>
  </w:style>
  <w:style w:type="paragraph" w:customStyle="1" w:styleId="ptabellenormli">
    <w:name w:val="p tabelle norm li"/>
    <w:basedOn w:val="Normal"/>
    <w:uiPriority w:val="99"/>
    <w:rsid w:val="009170A4"/>
    <w:pPr>
      <w:widowControl w:val="0"/>
      <w:tabs>
        <w:tab w:val="left" w:pos="340"/>
      </w:tabs>
      <w:autoSpaceDE w:val="0"/>
      <w:autoSpaceDN w:val="0"/>
      <w:adjustRightInd w:val="0"/>
      <w:spacing w:after="0" w:line="190" w:lineRule="atLeast"/>
      <w:textAlignment w:val="center"/>
    </w:pPr>
    <w:rPr>
      <w:rFonts w:ascii="ArialMT" w:eastAsia="Cambria" w:hAnsi="ArialMT" w:cs="ArialMT"/>
      <w:color w:val="000000"/>
      <w:sz w:val="16"/>
      <w:szCs w:val="16"/>
      <w:lang w:val="de-DE" w:eastAsia="de-DE"/>
    </w:rPr>
  </w:style>
  <w:style w:type="paragraph" w:customStyle="1" w:styleId="Tabellehead">
    <w:name w:val="Tabelle head"/>
    <w:basedOn w:val="Normal"/>
    <w:qFormat/>
    <w:rsid w:val="009170A4"/>
    <w:pPr>
      <w:widowControl w:val="0"/>
      <w:tabs>
        <w:tab w:val="left" w:pos="340"/>
      </w:tabs>
      <w:autoSpaceDE w:val="0"/>
      <w:autoSpaceDN w:val="0"/>
      <w:adjustRightInd w:val="0"/>
      <w:spacing w:before="10" w:after="10" w:line="240" w:lineRule="auto"/>
      <w:textAlignment w:val="center"/>
    </w:pPr>
    <w:rPr>
      <w:rFonts w:ascii="Arial" w:eastAsia="Cambria" w:hAnsi="Arial" w:cs="Times-Roman"/>
      <w:b/>
      <w:color w:val="000000"/>
      <w:sz w:val="16"/>
      <w:szCs w:val="19"/>
      <w:lang w:val="de-DE" w:eastAsia="de-DE"/>
    </w:rPr>
  </w:style>
  <w:style w:type="character" w:customStyle="1" w:styleId="Titre3Car">
    <w:name w:val="Titre 3 Car"/>
    <w:basedOn w:val="Policepardfaut"/>
    <w:link w:val="Titre3"/>
    <w:uiPriority w:val="9"/>
    <w:semiHidden/>
    <w:rsid w:val="00C52444"/>
    <w:rPr>
      <w:rFonts w:asciiTheme="majorHAnsi" w:eastAsiaTheme="majorEastAsia" w:hAnsiTheme="majorHAnsi" w:cstheme="majorBidi"/>
      <w:color w:val="1F4D78" w:themeColor="accent1" w:themeShade="7F"/>
      <w:sz w:val="24"/>
      <w:szCs w:val="24"/>
    </w:rPr>
  </w:style>
  <w:style w:type="character" w:styleId="Marquedecommentaire">
    <w:name w:val="annotation reference"/>
    <w:basedOn w:val="Policepardfaut"/>
    <w:uiPriority w:val="99"/>
    <w:unhideWhenUsed/>
    <w:rsid w:val="00C52444"/>
    <w:rPr>
      <w:sz w:val="16"/>
      <w:szCs w:val="16"/>
    </w:rPr>
  </w:style>
  <w:style w:type="paragraph" w:styleId="Commentaire">
    <w:name w:val="annotation text"/>
    <w:basedOn w:val="Normal"/>
    <w:link w:val="CommentaireCar"/>
    <w:uiPriority w:val="99"/>
    <w:unhideWhenUsed/>
    <w:rsid w:val="00C52444"/>
    <w:pPr>
      <w:spacing w:after="0" w:line="240" w:lineRule="auto"/>
      <w:jc w:val="both"/>
    </w:pPr>
    <w:rPr>
      <w:rFonts w:ascii="Arial" w:eastAsia="MS Mincho" w:hAnsi="Arial" w:cs="Times New Roman"/>
      <w:sz w:val="20"/>
      <w:szCs w:val="20"/>
      <w:lang w:val="de-DE"/>
    </w:rPr>
  </w:style>
  <w:style w:type="character" w:customStyle="1" w:styleId="CommentaireCar">
    <w:name w:val="Commentaire Car"/>
    <w:basedOn w:val="Policepardfaut"/>
    <w:link w:val="Commentaire"/>
    <w:uiPriority w:val="99"/>
    <w:rsid w:val="00C52444"/>
    <w:rPr>
      <w:rFonts w:ascii="Arial" w:eastAsia="MS Mincho" w:hAnsi="Arial" w:cs="Times New Roman"/>
      <w:sz w:val="20"/>
      <w:szCs w:val="20"/>
      <w:lang w:val="de-DE"/>
    </w:rPr>
  </w:style>
  <w:style w:type="table" w:styleId="TableauGrille1Clair-Accentuation1">
    <w:name w:val="Grid Table 1 Light Accent 1"/>
    <w:basedOn w:val="TableauNormal"/>
    <w:uiPriority w:val="46"/>
    <w:rsid w:val="00C52444"/>
    <w:pPr>
      <w:spacing w:after="0" w:line="240" w:lineRule="auto"/>
    </w:pPr>
    <w:rPr>
      <w:lang w:val="de-DE"/>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Abbildung">
    <w:name w:val="Abbildung"/>
    <w:basedOn w:val="Normal"/>
    <w:link w:val="AbbildungChar"/>
    <w:qFormat/>
    <w:rsid w:val="00C52444"/>
    <w:pPr>
      <w:keepNext/>
      <w:spacing w:before="120" w:after="120" w:line="264" w:lineRule="auto"/>
      <w:jc w:val="both"/>
    </w:pPr>
    <w:rPr>
      <w:rFonts w:ascii="Arial" w:eastAsia="Cambria" w:hAnsi="Arial" w:cs="Arial"/>
      <w:color w:val="44546A" w:themeColor="text2"/>
      <w:sz w:val="20"/>
      <w:szCs w:val="24"/>
      <w:lang w:val="de-DE" w:eastAsia="de-DE"/>
    </w:rPr>
  </w:style>
  <w:style w:type="character" w:customStyle="1" w:styleId="AbbildungChar">
    <w:name w:val="Abbildung Char"/>
    <w:basedOn w:val="Policepardfaut"/>
    <w:link w:val="Abbildung"/>
    <w:rsid w:val="00C52444"/>
    <w:rPr>
      <w:rFonts w:ascii="Arial" w:eastAsia="Cambria" w:hAnsi="Arial" w:cs="Arial"/>
      <w:color w:val="44546A" w:themeColor="text2"/>
      <w:sz w:val="20"/>
      <w:szCs w:val="24"/>
      <w:lang w:val="de-DE" w:eastAsia="de-DE"/>
    </w:rPr>
  </w:style>
  <w:style w:type="character" w:styleId="lev">
    <w:name w:val="Strong"/>
    <w:basedOn w:val="Policepardfaut"/>
    <w:uiPriority w:val="22"/>
    <w:qFormat/>
    <w:rsid w:val="00C52444"/>
    <w:rPr>
      <w:b/>
      <w:bCs/>
    </w:rPr>
  </w:style>
  <w:style w:type="paragraph" w:styleId="Lgende">
    <w:name w:val="caption"/>
    <w:aliases w:val="Tabelle 1"/>
    <w:basedOn w:val="Normal"/>
    <w:next w:val="Normal"/>
    <w:link w:val="LgendeCar"/>
    <w:uiPriority w:val="35"/>
    <w:unhideWhenUsed/>
    <w:qFormat/>
    <w:rsid w:val="00347723"/>
    <w:pPr>
      <w:spacing w:after="0" w:line="240" w:lineRule="auto"/>
    </w:pPr>
    <w:rPr>
      <w:rFonts w:ascii="Times New Roman" w:eastAsia="Times New Roman" w:hAnsi="Times New Roman" w:cs="Times New Roman"/>
      <w:b/>
      <w:bCs/>
      <w:sz w:val="20"/>
      <w:szCs w:val="20"/>
      <w:lang w:val="de-DE" w:eastAsia="de-DE"/>
    </w:rPr>
  </w:style>
  <w:style w:type="table" w:customStyle="1" w:styleId="HelleSchattierung-Akzent11">
    <w:name w:val="Helle Schattierung - Akzent 11"/>
    <w:basedOn w:val="TableauNormal"/>
    <w:next w:val="TableauNormal"/>
    <w:uiPriority w:val="60"/>
    <w:rsid w:val="00347723"/>
    <w:pPr>
      <w:spacing w:after="0" w:line="240" w:lineRule="auto"/>
    </w:pPr>
    <w:rPr>
      <w:rFonts w:ascii="Calibri" w:eastAsia="Times New Roman" w:hAnsi="Calibri" w:cs="Arial"/>
      <w:color w:val="365F91"/>
      <w:sz w:val="20"/>
      <w:szCs w:val="20"/>
      <w:lang w:eastAsia="fr-FR"/>
    </w:rPr>
    <w:tblPr>
      <w:tblStyleRowBandSize w:val="1"/>
      <w:tblStyleColBandSize w:val="1"/>
      <w:tblBorders>
        <w:top w:val="single" w:sz="8" w:space="0" w:color="4F81BD"/>
        <w:bottom w:val="single" w:sz="8" w:space="0" w:color="4F81BD"/>
      </w:tblBorders>
    </w:tblPr>
    <w:tblStylePr w:type="firstRow">
      <w:pPr>
        <w:spacing w:before="0" w:after="0"/>
      </w:pPr>
      <w:rPr>
        <w:rFonts w:cs="Arial"/>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Arial"/>
        <w:b/>
        <w:bCs/>
      </w:rPr>
      <w:tblPr/>
      <w:tcPr>
        <w:tcBorders>
          <w:top w:val="single" w:sz="8" w:space="0" w:color="4F81BD"/>
          <w:left w:val="nil"/>
          <w:bottom w:val="single" w:sz="8" w:space="0" w:color="4F81BD"/>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3DFEE"/>
      </w:tcPr>
    </w:tblStylePr>
    <w:tblStylePr w:type="band1Horz">
      <w:rPr>
        <w:rFonts w:cs="Arial"/>
      </w:rPr>
      <w:tblPr/>
      <w:tcPr>
        <w:tcBorders>
          <w:left w:val="nil"/>
          <w:right w:val="nil"/>
          <w:insideH w:val="nil"/>
          <w:insideV w:val="nil"/>
        </w:tcBorders>
        <w:shd w:val="clear" w:color="auto" w:fill="D3DFEE"/>
      </w:tcPr>
    </w:tblStylePr>
  </w:style>
  <w:style w:type="character" w:customStyle="1" w:styleId="LgendeCar">
    <w:name w:val="Légende Car"/>
    <w:aliases w:val="Tabelle 1 Car"/>
    <w:link w:val="Lgende"/>
    <w:uiPriority w:val="35"/>
    <w:locked/>
    <w:rsid w:val="00347723"/>
    <w:rPr>
      <w:rFonts w:ascii="Times New Roman" w:eastAsia="Times New Roman" w:hAnsi="Times New Roman" w:cs="Times New Roman"/>
      <w:b/>
      <w:bCs/>
      <w:sz w:val="20"/>
      <w:szCs w:val="20"/>
      <w:lang w:val="de-DE" w:eastAsia="de-DE"/>
    </w:rPr>
  </w:style>
  <w:style w:type="character" w:styleId="Mentionnonrsolue">
    <w:name w:val="Unresolved Mention"/>
    <w:basedOn w:val="Policepardfaut"/>
    <w:uiPriority w:val="99"/>
    <w:semiHidden/>
    <w:unhideWhenUsed/>
    <w:rsid w:val="00F56AD0"/>
    <w:rPr>
      <w:color w:val="605E5C"/>
      <w:shd w:val="clear" w:color="auto" w:fill="E1DFDD"/>
    </w:rPr>
  </w:style>
  <w:style w:type="character" w:styleId="Lienhypertextesuivivisit">
    <w:name w:val="FollowedHyperlink"/>
    <w:basedOn w:val="Policepardfaut"/>
    <w:uiPriority w:val="99"/>
    <w:semiHidden/>
    <w:unhideWhenUsed/>
    <w:rsid w:val="002F48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137108">
      <w:bodyDiv w:val="1"/>
      <w:marLeft w:val="0"/>
      <w:marRight w:val="0"/>
      <w:marTop w:val="0"/>
      <w:marBottom w:val="0"/>
      <w:divBdr>
        <w:top w:val="none" w:sz="0" w:space="0" w:color="auto"/>
        <w:left w:val="none" w:sz="0" w:space="0" w:color="auto"/>
        <w:bottom w:val="none" w:sz="0" w:space="0" w:color="auto"/>
        <w:right w:val="none" w:sz="0" w:space="0" w:color="auto"/>
      </w:divBdr>
    </w:div>
    <w:div w:id="309672355">
      <w:bodyDiv w:val="1"/>
      <w:marLeft w:val="0"/>
      <w:marRight w:val="0"/>
      <w:marTop w:val="0"/>
      <w:marBottom w:val="0"/>
      <w:divBdr>
        <w:top w:val="none" w:sz="0" w:space="0" w:color="auto"/>
        <w:left w:val="none" w:sz="0" w:space="0" w:color="auto"/>
        <w:bottom w:val="none" w:sz="0" w:space="0" w:color="auto"/>
        <w:right w:val="none" w:sz="0" w:space="0" w:color="auto"/>
      </w:divBdr>
    </w:div>
    <w:div w:id="380253334">
      <w:bodyDiv w:val="1"/>
      <w:marLeft w:val="0"/>
      <w:marRight w:val="0"/>
      <w:marTop w:val="0"/>
      <w:marBottom w:val="0"/>
      <w:divBdr>
        <w:top w:val="none" w:sz="0" w:space="0" w:color="auto"/>
        <w:left w:val="none" w:sz="0" w:space="0" w:color="auto"/>
        <w:bottom w:val="none" w:sz="0" w:space="0" w:color="auto"/>
        <w:right w:val="none" w:sz="0" w:space="0" w:color="auto"/>
      </w:divBdr>
    </w:div>
    <w:div w:id="435708419">
      <w:bodyDiv w:val="1"/>
      <w:marLeft w:val="0"/>
      <w:marRight w:val="0"/>
      <w:marTop w:val="0"/>
      <w:marBottom w:val="0"/>
      <w:divBdr>
        <w:top w:val="none" w:sz="0" w:space="0" w:color="auto"/>
        <w:left w:val="none" w:sz="0" w:space="0" w:color="auto"/>
        <w:bottom w:val="none" w:sz="0" w:space="0" w:color="auto"/>
        <w:right w:val="none" w:sz="0" w:space="0" w:color="auto"/>
      </w:divBdr>
    </w:div>
    <w:div w:id="526598444">
      <w:bodyDiv w:val="1"/>
      <w:marLeft w:val="0"/>
      <w:marRight w:val="0"/>
      <w:marTop w:val="0"/>
      <w:marBottom w:val="0"/>
      <w:divBdr>
        <w:top w:val="none" w:sz="0" w:space="0" w:color="auto"/>
        <w:left w:val="none" w:sz="0" w:space="0" w:color="auto"/>
        <w:bottom w:val="none" w:sz="0" w:space="0" w:color="auto"/>
        <w:right w:val="none" w:sz="0" w:space="0" w:color="auto"/>
      </w:divBdr>
    </w:div>
    <w:div w:id="1921327930">
      <w:bodyDiv w:val="1"/>
      <w:marLeft w:val="0"/>
      <w:marRight w:val="0"/>
      <w:marTop w:val="0"/>
      <w:marBottom w:val="0"/>
      <w:divBdr>
        <w:top w:val="none" w:sz="0" w:space="0" w:color="auto"/>
        <w:left w:val="none" w:sz="0" w:space="0" w:color="auto"/>
        <w:bottom w:val="none" w:sz="0" w:space="0" w:color="auto"/>
        <w:right w:val="none" w:sz="0" w:space="0" w:color="auto"/>
      </w:divBdr>
    </w:div>
    <w:div w:id="2014453498">
      <w:bodyDiv w:val="1"/>
      <w:marLeft w:val="0"/>
      <w:marRight w:val="0"/>
      <w:marTop w:val="0"/>
      <w:marBottom w:val="0"/>
      <w:divBdr>
        <w:top w:val="none" w:sz="0" w:space="0" w:color="auto"/>
        <w:left w:val="none" w:sz="0" w:space="0" w:color="auto"/>
        <w:bottom w:val="none" w:sz="0" w:space="0" w:color="auto"/>
        <w:right w:val="none" w:sz="0" w:space="0" w:color="auto"/>
      </w:divBdr>
    </w:div>
    <w:div w:id="2077504566">
      <w:bodyDiv w:val="1"/>
      <w:marLeft w:val="0"/>
      <w:marRight w:val="0"/>
      <w:marTop w:val="0"/>
      <w:marBottom w:val="0"/>
      <w:divBdr>
        <w:top w:val="none" w:sz="0" w:space="0" w:color="auto"/>
        <w:left w:val="none" w:sz="0" w:space="0" w:color="auto"/>
        <w:bottom w:val="none" w:sz="0" w:space="0" w:color="auto"/>
        <w:right w:val="none" w:sz="0" w:space="0" w:color="auto"/>
      </w:divBdr>
    </w:div>
    <w:div w:id="210548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deinternational.org.tn/" TargetMode="External"/><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3" Type="http://schemas.openxmlformats.org/officeDocument/2006/relationships/hyperlink" Target="https://www.sonede.com.tn/fileadmin/medias/doc/RS2019.pdf" TargetMode="External"/><Relationship Id="rId2" Type="http://schemas.openxmlformats.org/officeDocument/2006/relationships/hyperlink" Target="https://www.un.org/waterforlifedecade/scarcity.shtml" TargetMode="External"/><Relationship Id="rId1" Type="http://schemas.openxmlformats.org/officeDocument/2006/relationships/hyperlink" Target="https://www.pseau.org/outils/ouvrages/ps_eau_fiche_pays_tunisie_2021.pdf" TargetMode="External"/><Relationship Id="rId6" Type="http://schemas.openxmlformats.org/officeDocument/2006/relationships/hyperlink" Target="http://www.bmz.de/de/ministerium/zahlen_fakten/transparenz-fuer-mehr-Wirksamkeit/Veroeffentlichung-gemaess-IATI-Standard/" TargetMode="External"/><Relationship Id="rId5" Type="http://schemas.openxmlformats.org/officeDocument/2006/relationships/hyperlink" Target="http://www.onas.nat.tn/Fr/page.php?code=109" TargetMode="External"/><Relationship Id="rId4" Type="http://schemas.openxmlformats.org/officeDocument/2006/relationships/hyperlink" Target="http://www.onas.nat.tn/Fr/page.php?code=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Tun171</b:Tag>
    <b:SourceType>DocumentFromInternetSite</b:SourceType>
    <b:Guid>{FF6E43C3-2D22-487F-BF26-85D52A1AD5BB}</b:Guid>
    <b:Author>
      <b:Author>
        <b:Corporate>Tunesienexplore</b:Corporate>
      </b:Author>
    </b:Author>
    <b:Title>News rund um Tunesien</b:Title>
    <b:Year>2017</b:Year>
    <b:Month>Mai</b:Month>
    <b:Day>17</b:Day>
    <b:URL>https://www.tunesienexplorer.de/2017/05/17/die-wasserversorgung-tunesiens-produktion-von-trinkwasser/</b:URL>
    <b:YearAccessed>2021</b:YearAccessed>
    <b:MonthAccessed>Juni</b:MonthAccessed>
    <b:RefOrder>1</b:RefOrder>
  </b:Source>
  <b:Source>
    <b:Tag>SON20</b:Tag>
    <b:SourceType>Report</b:SourceType>
    <b:Guid>{DD29A0A3-2746-460A-8BB8-FAAD5E774DA3}</b:Guid>
    <b:Title>Rapport des statistiques annee 2019</b:Title>
    <b:Year>2020</b:Year>
    <b:Author>
      <b:Author>
        <b:NameList>
          <b:Person>
            <b:Last>SONEDE</b:Last>
          </b:Person>
        </b:NameList>
      </b:Author>
    </b:Author>
    <b:RefOrder>2</b:RefOrder>
  </b:Source>
</b:Sources>
</file>

<file path=customXml/itemProps1.xml><?xml version="1.0" encoding="utf-8"?>
<ds:datastoreItem xmlns:ds="http://schemas.openxmlformats.org/officeDocument/2006/customXml" ds:itemID="{5C5B6027-0C1C-44CA-A0E1-03F8F637F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2201</Words>
  <Characters>12107</Characters>
  <Application>Microsoft Office Word</Application>
  <DocSecurity>0</DocSecurity>
  <Lines>100</Lines>
  <Paragraphs>28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Makram Ben Hamida</dc:creator>
  <cp:keywords/>
  <dc:description/>
  <cp:lastModifiedBy>AHK Tunisie - Marwa Mejri</cp:lastModifiedBy>
  <cp:revision>4</cp:revision>
  <cp:lastPrinted>2019-07-08T10:31:00Z</cp:lastPrinted>
  <dcterms:created xsi:type="dcterms:W3CDTF">2021-09-02T18:12:00Z</dcterms:created>
  <dcterms:modified xsi:type="dcterms:W3CDTF">2023-01-06T08:43:00Z</dcterms:modified>
</cp:coreProperties>
</file>